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F50E1" w14:textId="77777777" w:rsidR="009A0641" w:rsidRPr="00A612A6" w:rsidRDefault="00000000">
      <w:pPr>
        <w:spacing w:after="60"/>
        <w:rPr>
          <w:lang w:val="en-US"/>
        </w:rPr>
      </w:pPr>
      <w:r w:rsidRPr="00A612A6">
        <w:rPr>
          <w:rFonts w:ascii="Calibri" w:eastAsia="Calibri" w:hAnsi="Calibri" w:cs="Calibri"/>
          <w:b/>
          <w:bCs/>
          <w:sz w:val="32"/>
          <w:szCs w:val="32"/>
          <w:lang w:val="en-US"/>
        </w:rPr>
        <w:t>TRIPOD+AI Reporting Checklist</w:t>
      </w:r>
    </w:p>
    <w:p w14:paraId="2B0EA194" w14:textId="77777777" w:rsidR="009A0641" w:rsidRPr="00A612A6" w:rsidRDefault="00000000">
      <w:pPr>
        <w:spacing w:after="200"/>
        <w:rPr>
          <w:lang w:val="en-US"/>
        </w:rPr>
      </w:pPr>
      <w:r w:rsidRPr="00A612A6">
        <w:rPr>
          <w:rFonts w:ascii="Calibri" w:eastAsia="Calibri" w:hAnsi="Calibri" w:cs="Calibri"/>
          <w:i/>
          <w:iCs/>
          <w:color w:val="595959"/>
          <w:sz w:val="21"/>
          <w:szCs w:val="21"/>
          <w:lang w:val="en-US"/>
        </w:rPr>
        <w:t>A Pilot Machine Learning Study for Preoperative Prediction of Pathological Lymph Node Status in PIPAC-Treated Gastric Cancer — completed in response to Reviewer 3, Comment 4; updated for Reviewer 2 (Round 1), Comments 3, 4, 5 and 11, and Reviewer 2 (Round 2), Comments 1–7 (supplementary file to the blinded manuscript; the Supplementary Methods are a second supplementary file)</w:t>
      </w:r>
    </w:p>
    <w:p w14:paraId="6B597C6F" w14:textId="77777777" w:rsidR="009A0641" w:rsidRPr="00A612A6" w:rsidRDefault="00000000">
      <w:pPr>
        <w:spacing w:after="160" w:line="270" w:lineRule="auto"/>
        <w:rPr>
          <w:lang w:val="en-US"/>
        </w:rPr>
      </w:pPr>
      <w:r w:rsidRPr="00A612A6">
        <w:rPr>
          <w:rFonts w:ascii="Calibri" w:eastAsia="Calibri" w:hAnsi="Calibri" w:cs="Calibri"/>
          <w:sz w:val="21"/>
          <w:szCs w:val="21"/>
          <w:lang w:val="en-US"/>
        </w:rPr>
        <w:t>This checklist follows Collins GS, Moons KGM, Dhiman P, et al. TRIPOD+AI statement: updated guidance for reporting clinical prediction models that use regression or machine-learning methods. BMJ. 2024;385:e078378. Only the Development (D) columns apply throughout, since this is a model-development study with internal cross-validation and no separate external evaluation dataset; items marked Evaluation-only (E) in the source checklist are marked “N/A” below for that reason.</w:t>
      </w:r>
    </w:p>
    <w:p w14:paraId="6307AE13" w14:textId="77777777" w:rsidR="009A0641" w:rsidRPr="00A612A6" w:rsidRDefault="00000000">
      <w:pPr>
        <w:spacing w:after="160" w:line="270" w:lineRule="auto"/>
        <w:rPr>
          <w:lang w:val="en-US"/>
        </w:rPr>
      </w:pPr>
      <w:r w:rsidRPr="00A612A6">
        <w:rPr>
          <w:rFonts w:ascii="Calibri" w:eastAsia="Calibri" w:hAnsi="Calibri" w:cs="Calibri"/>
          <w:i/>
          <w:iCs/>
          <w:sz w:val="21"/>
          <w:szCs w:val="21"/>
          <w:lang w:val="en-US"/>
        </w:rPr>
        <w:t>“Reported” = fully addressed in the current manuscript text. “Partially reported” = addressed in principle but incomplete or pending an author-supplied value (cross-referenced to the relevant reviewer comment). “Not reported” = a genuine gap identified while completing this checklist; most of these were not raised by any reviewer but are required by TRIPOD+AI and are addressed on the title page / submission form (outside the blinded manuscript) or at the relevant location.</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600"/>
        <w:gridCol w:w="1000"/>
        <w:gridCol w:w="2600"/>
        <w:gridCol w:w="2540"/>
      </w:tblGrid>
      <w:tr w:rsidR="009A0641" w14:paraId="3B6D8569" w14:textId="77777777">
        <w:tc>
          <w:tcPr>
            <w:tcW w:w="700" w:type="dxa"/>
            <w:shd w:val="clear" w:color="auto" w:fill="1F4E79"/>
            <w:tcMar>
              <w:top w:w="60" w:type="dxa"/>
              <w:left w:w="80" w:type="dxa"/>
              <w:bottom w:w="60" w:type="dxa"/>
              <w:right w:w="80" w:type="dxa"/>
            </w:tcMar>
            <w:vAlign w:val="center"/>
          </w:tcPr>
          <w:p w14:paraId="38AE0391" w14:textId="77777777" w:rsidR="009A0641" w:rsidRDefault="00000000">
            <w:r>
              <w:rPr>
                <w:rFonts w:ascii="Calibri" w:eastAsia="Calibri" w:hAnsi="Calibri" w:cs="Calibri"/>
                <w:b/>
                <w:bCs/>
                <w:color w:val="FFFFFF"/>
                <w:sz w:val="18"/>
                <w:szCs w:val="18"/>
              </w:rPr>
              <w:t>Item</w:t>
            </w:r>
          </w:p>
        </w:tc>
        <w:tc>
          <w:tcPr>
            <w:tcW w:w="3600" w:type="dxa"/>
            <w:shd w:val="clear" w:color="auto" w:fill="1F4E79"/>
            <w:tcMar>
              <w:top w:w="60" w:type="dxa"/>
              <w:left w:w="80" w:type="dxa"/>
              <w:bottom w:w="60" w:type="dxa"/>
              <w:right w:w="80" w:type="dxa"/>
            </w:tcMar>
            <w:vAlign w:val="center"/>
          </w:tcPr>
          <w:p w14:paraId="06CBA467" w14:textId="77777777" w:rsidR="009A0641" w:rsidRDefault="00000000">
            <w:r>
              <w:rPr>
                <w:rFonts w:ascii="Calibri" w:eastAsia="Calibri" w:hAnsi="Calibri" w:cs="Calibri"/>
                <w:b/>
                <w:bCs/>
                <w:color w:val="FFFFFF"/>
                <w:sz w:val="18"/>
                <w:szCs w:val="18"/>
              </w:rPr>
              <w:t>Description</w:t>
            </w:r>
          </w:p>
        </w:tc>
        <w:tc>
          <w:tcPr>
            <w:tcW w:w="1000" w:type="dxa"/>
            <w:shd w:val="clear" w:color="auto" w:fill="1F4E79"/>
            <w:tcMar>
              <w:top w:w="60" w:type="dxa"/>
              <w:left w:w="80" w:type="dxa"/>
              <w:bottom w:w="60" w:type="dxa"/>
              <w:right w:w="80" w:type="dxa"/>
            </w:tcMar>
            <w:vAlign w:val="center"/>
          </w:tcPr>
          <w:p w14:paraId="4D6EA4E9" w14:textId="77777777" w:rsidR="009A0641" w:rsidRDefault="00000000">
            <w:r>
              <w:rPr>
                <w:rFonts w:ascii="Calibri" w:eastAsia="Calibri" w:hAnsi="Calibri" w:cs="Calibri"/>
                <w:b/>
                <w:bCs/>
                <w:color w:val="FFFFFF"/>
                <w:sz w:val="18"/>
                <w:szCs w:val="18"/>
              </w:rPr>
              <w:t>Status</w:t>
            </w:r>
          </w:p>
        </w:tc>
        <w:tc>
          <w:tcPr>
            <w:tcW w:w="2600" w:type="dxa"/>
            <w:shd w:val="clear" w:color="auto" w:fill="1F4E79"/>
            <w:tcMar>
              <w:top w:w="60" w:type="dxa"/>
              <w:left w:w="80" w:type="dxa"/>
              <w:bottom w:w="60" w:type="dxa"/>
              <w:right w:w="80" w:type="dxa"/>
            </w:tcMar>
            <w:vAlign w:val="center"/>
          </w:tcPr>
          <w:p w14:paraId="28B95FE7" w14:textId="77777777" w:rsidR="009A0641" w:rsidRDefault="00000000">
            <w:r>
              <w:rPr>
                <w:rFonts w:ascii="Calibri" w:eastAsia="Calibri" w:hAnsi="Calibri" w:cs="Calibri"/>
                <w:b/>
                <w:bCs/>
                <w:color w:val="FFFFFF"/>
                <w:sz w:val="18"/>
                <w:szCs w:val="18"/>
              </w:rPr>
              <w:t>Location in manuscript</w:t>
            </w:r>
          </w:p>
        </w:tc>
        <w:tc>
          <w:tcPr>
            <w:tcW w:w="2540" w:type="dxa"/>
            <w:shd w:val="clear" w:color="auto" w:fill="1F4E79"/>
            <w:tcMar>
              <w:top w:w="60" w:type="dxa"/>
              <w:left w:w="80" w:type="dxa"/>
              <w:bottom w:w="60" w:type="dxa"/>
              <w:right w:w="80" w:type="dxa"/>
            </w:tcMar>
            <w:vAlign w:val="center"/>
          </w:tcPr>
          <w:p w14:paraId="6AA0F1EA" w14:textId="77777777" w:rsidR="009A0641" w:rsidRDefault="00000000">
            <w:r>
              <w:rPr>
                <w:rFonts w:ascii="Calibri" w:eastAsia="Calibri" w:hAnsi="Calibri" w:cs="Calibri"/>
                <w:b/>
                <w:bCs/>
                <w:color w:val="FFFFFF"/>
                <w:sz w:val="18"/>
                <w:szCs w:val="18"/>
              </w:rPr>
              <w:t>Notes</w:t>
            </w:r>
          </w:p>
        </w:tc>
      </w:tr>
      <w:tr w:rsidR="009A0641" w14:paraId="6FF2B976" w14:textId="77777777">
        <w:tc>
          <w:tcPr>
            <w:tcW w:w="10440" w:type="dxa"/>
            <w:gridSpan w:val="5"/>
            <w:shd w:val="clear" w:color="auto" w:fill="D9E2F3"/>
            <w:tcMar>
              <w:top w:w="60" w:type="dxa"/>
              <w:left w:w="80" w:type="dxa"/>
              <w:bottom w:w="60" w:type="dxa"/>
              <w:right w:w="80" w:type="dxa"/>
            </w:tcMar>
          </w:tcPr>
          <w:p w14:paraId="73A3DA18" w14:textId="77777777" w:rsidR="009A0641" w:rsidRDefault="00000000">
            <w:r>
              <w:rPr>
                <w:rFonts w:ascii="Calibri" w:eastAsia="Calibri" w:hAnsi="Calibri" w:cs="Calibri"/>
                <w:b/>
                <w:bCs/>
                <w:sz w:val="19"/>
                <w:szCs w:val="19"/>
              </w:rPr>
              <w:t>Title</w:t>
            </w:r>
          </w:p>
        </w:tc>
      </w:tr>
      <w:tr w:rsidR="009A0641" w:rsidRPr="00A612A6" w14:paraId="6D8F127C" w14:textId="77777777">
        <w:tc>
          <w:tcPr>
            <w:tcW w:w="700" w:type="dxa"/>
            <w:tcMar>
              <w:top w:w="60" w:type="dxa"/>
              <w:left w:w="80" w:type="dxa"/>
              <w:bottom w:w="60" w:type="dxa"/>
              <w:right w:w="80" w:type="dxa"/>
            </w:tcMar>
            <w:vAlign w:val="center"/>
          </w:tcPr>
          <w:p w14:paraId="4DC1CFB0" w14:textId="77777777" w:rsidR="009A0641" w:rsidRDefault="00000000">
            <w:r>
              <w:rPr>
                <w:rFonts w:ascii="Calibri" w:eastAsia="Calibri" w:hAnsi="Calibri" w:cs="Calibri"/>
                <w:b/>
                <w:bCs/>
                <w:color w:val="000000"/>
                <w:sz w:val="18"/>
                <w:szCs w:val="18"/>
              </w:rPr>
              <w:t>1</w:t>
            </w:r>
          </w:p>
        </w:tc>
        <w:tc>
          <w:tcPr>
            <w:tcW w:w="3600" w:type="dxa"/>
            <w:tcMar>
              <w:top w:w="60" w:type="dxa"/>
              <w:left w:w="80" w:type="dxa"/>
              <w:bottom w:w="60" w:type="dxa"/>
              <w:right w:w="80" w:type="dxa"/>
            </w:tcMar>
            <w:vAlign w:val="center"/>
          </w:tcPr>
          <w:p w14:paraId="1F497B77" w14:textId="77777777" w:rsidR="009A0641" w:rsidRPr="00A612A6" w:rsidRDefault="00000000">
            <w:pPr>
              <w:rPr>
                <w:lang w:val="en-US"/>
              </w:rPr>
            </w:pPr>
            <w:r w:rsidRPr="00A612A6">
              <w:rPr>
                <w:rFonts w:ascii="Calibri" w:eastAsia="Calibri" w:hAnsi="Calibri" w:cs="Calibri"/>
                <w:color w:val="000000"/>
                <w:sz w:val="18"/>
                <w:szCs w:val="18"/>
                <w:lang w:val="en-US"/>
              </w:rPr>
              <w:t>Identify the study as developing or evaluating a multivariable prediction model, the target population, and the outcome to be predicted.</w:t>
            </w:r>
          </w:p>
        </w:tc>
        <w:tc>
          <w:tcPr>
            <w:tcW w:w="1000" w:type="dxa"/>
            <w:tcMar>
              <w:top w:w="60" w:type="dxa"/>
              <w:left w:w="80" w:type="dxa"/>
              <w:bottom w:w="60" w:type="dxa"/>
              <w:right w:w="80" w:type="dxa"/>
            </w:tcMar>
            <w:vAlign w:val="center"/>
          </w:tcPr>
          <w:p w14:paraId="6112469E"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152BF2B1" w14:textId="77777777" w:rsidR="009A0641" w:rsidRDefault="00000000">
            <w:r>
              <w:rPr>
                <w:rFonts w:ascii="Calibri" w:eastAsia="Calibri" w:hAnsi="Calibri" w:cs="Calibri"/>
                <w:color w:val="000000"/>
                <w:sz w:val="18"/>
                <w:szCs w:val="18"/>
              </w:rPr>
              <w:t>Title page</w:t>
            </w:r>
          </w:p>
        </w:tc>
        <w:tc>
          <w:tcPr>
            <w:tcW w:w="2540" w:type="dxa"/>
            <w:tcMar>
              <w:top w:w="60" w:type="dxa"/>
              <w:left w:w="80" w:type="dxa"/>
              <w:bottom w:w="60" w:type="dxa"/>
              <w:right w:w="80" w:type="dxa"/>
            </w:tcMar>
            <w:vAlign w:val="center"/>
          </w:tcPr>
          <w:p w14:paraId="520A3B3A" w14:textId="77777777" w:rsidR="009A0641" w:rsidRPr="00A612A6" w:rsidRDefault="00000000">
            <w:pPr>
              <w:rPr>
                <w:lang w:val="en-US"/>
              </w:rPr>
            </w:pPr>
            <w:r w:rsidRPr="00A612A6">
              <w:rPr>
                <w:rFonts w:ascii="Calibri" w:eastAsia="Calibri" w:hAnsi="Calibri" w:cs="Calibri"/>
                <w:color w:val="000000"/>
                <w:sz w:val="18"/>
                <w:szCs w:val="18"/>
                <w:lang w:val="en-US"/>
              </w:rPr>
              <w:t>Development-only study (no external evaluation).</w:t>
            </w:r>
          </w:p>
        </w:tc>
      </w:tr>
      <w:tr w:rsidR="009A0641" w14:paraId="35A6761B" w14:textId="77777777">
        <w:tc>
          <w:tcPr>
            <w:tcW w:w="10440" w:type="dxa"/>
            <w:gridSpan w:val="5"/>
            <w:shd w:val="clear" w:color="auto" w:fill="D9E2F3"/>
            <w:tcMar>
              <w:top w:w="60" w:type="dxa"/>
              <w:left w:w="80" w:type="dxa"/>
              <w:bottom w:w="60" w:type="dxa"/>
              <w:right w:w="80" w:type="dxa"/>
            </w:tcMar>
          </w:tcPr>
          <w:p w14:paraId="24C506E6" w14:textId="77777777" w:rsidR="009A0641" w:rsidRDefault="00000000">
            <w:r>
              <w:rPr>
                <w:rFonts w:ascii="Calibri" w:eastAsia="Calibri" w:hAnsi="Calibri" w:cs="Calibri"/>
                <w:b/>
                <w:bCs/>
                <w:sz w:val="19"/>
                <w:szCs w:val="19"/>
              </w:rPr>
              <w:t>Abstract</w:t>
            </w:r>
          </w:p>
        </w:tc>
      </w:tr>
      <w:tr w:rsidR="009A0641" w:rsidRPr="00A612A6" w14:paraId="3E0375F5" w14:textId="77777777">
        <w:tc>
          <w:tcPr>
            <w:tcW w:w="700" w:type="dxa"/>
            <w:tcMar>
              <w:top w:w="60" w:type="dxa"/>
              <w:left w:w="80" w:type="dxa"/>
              <w:bottom w:w="60" w:type="dxa"/>
              <w:right w:w="80" w:type="dxa"/>
            </w:tcMar>
            <w:vAlign w:val="center"/>
          </w:tcPr>
          <w:p w14:paraId="4E0DA766" w14:textId="77777777" w:rsidR="009A0641" w:rsidRDefault="00000000">
            <w:r>
              <w:rPr>
                <w:rFonts w:ascii="Calibri" w:eastAsia="Calibri" w:hAnsi="Calibri" w:cs="Calibri"/>
                <w:b/>
                <w:bCs/>
                <w:color w:val="000000"/>
                <w:sz w:val="18"/>
                <w:szCs w:val="18"/>
              </w:rPr>
              <w:t>2</w:t>
            </w:r>
          </w:p>
        </w:tc>
        <w:tc>
          <w:tcPr>
            <w:tcW w:w="3600" w:type="dxa"/>
            <w:tcMar>
              <w:top w:w="60" w:type="dxa"/>
              <w:left w:w="80" w:type="dxa"/>
              <w:bottom w:w="60" w:type="dxa"/>
              <w:right w:w="80" w:type="dxa"/>
            </w:tcMar>
            <w:vAlign w:val="center"/>
          </w:tcPr>
          <w:p w14:paraId="7CDBD9BB" w14:textId="77777777" w:rsidR="009A0641" w:rsidRPr="00A612A6" w:rsidRDefault="00000000">
            <w:pPr>
              <w:rPr>
                <w:lang w:val="en-US"/>
              </w:rPr>
            </w:pPr>
            <w:r w:rsidRPr="00A612A6">
              <w:rPr>
                <w:rFonts w:ascii="Calibri" w:eastAsia="Calibri" w:hAnsi="Calibri" w:cs="Calibri"/>
                <w:color w:val="000000"/>
                <w:sz w:val="18"/>
                <w:szCs w:val="18"/>
                <w:lang w:val="en-US"/>
              </w:rPr>
              <w:t>See TRIPOD+AI for Abstracts checklist (reproduced at the end of this document).</w:t>
            </w:r>
          </w:p>
        </w:tc>
        <w:tc>
          <w:tcPr>
            <w:tcW w:w="1000" w:type="dxa"/>
            <w:tcMar>
              <w:top w:w="60" w:type="dxa"/>
              <w:left w:w="80" w:type="dxa"/>
              <w:bottom w:w="60" w:type="dxa"/>
              <w:right w:w="80" w:type="dxa"/>
            </w:tcMar>
            <w:vAlign w:val="center"/>
          </w:tcPr>
          <w:p w14:paraId="193CC76F"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4BBBA166" w14:textId="77777777" w:rsidR="009A0641" w:rsidRDefault="00000000">
            <w:r>
              <w:rPr>
                <w:rFonts w:ascii="Calibri" w:eastAsia="Calibri" w:hAnsi="Calibri" w:cs="Calibri"/>
                <w:color w:val="000000"/>
                <w:sz w:val="18"/>
                <w:szCs w:val="18"/>
              </w:rPr>
              <w:t>Abstract</w:t>
            </w:r>
          </w:p>
        </w:tc>
        <w:tc>
          <w:tcPr>
            <w:tcW w:w="2540" w:type="dxa"/>
            <w:tcMar>
              <w:top w:w="60" w:type="dxa"/>
              <w:left w:w="80" w:type="dxa"/>
              <w:bottom w:w="60" w:type="dxa"/>
              <w:right w:w="80" w:type="dxa"/>
            </w:tcMar>
            <w:vAlign w:val="center"/>
          </w:tcPr>
          <w:p w14:paraId="782BA91B" w14:textId="77777777" w:rsidR="009A0641" w:rsidRPr="00A612A6" w:rsidRDefault="00000000">
            <w:pPr>
              <w:rPr>
                <w:lang w:val="en-US"/>
              </w:rPr>
            </w:pPr>
            <w:r w:rsidRPr="00A612A6">
              <w:rPr>
                <w:rFonts w:ascii="Calibri" w:eastAsia="Calibri" w:hAnsi="Calibri" w:cs="Calibri"/>
                <w:color w:val="000000"/>
                <w:sz w:val="18"/>
                <w:szCs w:val="18"/>
                <w:lang w:val="en-US"/>
              </w:rPr>
              <w:t>All sub-items reported except registration (see Item 18d).</w:t>
            </w:r>
          </w:p>
        </w:tc>
      </w:tr>
      <w:tr w:rsidR="009A0641" w14:paraId="5F5EABE2" w14:textId="77777777">
        <w:tc>
          <w:tcPr>
            <w:tcW w:w="10440" w:type="dxa"/>
            <w:gridSpan w:val="5"/>
            <w:shd w:val="clear" w:color="auto" w:fill="D9E2F3"/>
            <w:tcMar>
              <w:top w:w="60" w:type="dxa"/>
              <w:left w:w="80" w:type="dxa"/>
              <w:bottom w:w="60" w:type="dxa"/>
              <w:right w:w="80" w:type="dxa"/>
            </w:tcMar>
          </w:tcPr>
          <w:p w14:paraId="25D1094E" w14:textId="77777777" w:rsidR="009A0641" w:rsidRDefault="00000000">
            <w:r>
              <w:rPr>
                <w:rFonts w:ascii="Calibri" w:eastAsia="Calibri" w:hAnsi="Calibri" w:cs="Calibri"/>
                <w:b/>
                <w:bCs/>
                <w:sz w:val="19"/>
                <w:szCs w:val="19"/>
              </w:rPr>
              <w:t>Introduction — Background</w:t>
            </w:r>
          </w:p>
        </w:tc>
      </w:tr>
      <w:tr w:rsidR="009A0641" w14:paraId="0F9D4AE5" w14:textId="77777777">
        <w:tc>
          <w:tcPr>
            <w:tcW w:w="700" w:type="dxa"/>
            <w:tcMar>
              <w:top w:w="60" w:type="dxa"/>
              <w:left w:w="80" w:type="dxa"/>
              <w:bottom w:w="60" w:type="dxa"/>
              <w:right w:w="80" w:type="dxa"/>
            </w:tcMar>
            <w:vAlign w:val="center"/>
          </w:tcPr>
          <w:p w14:paraId="4DF4DFEE" w14:textId="77777777" w:rsidR="009A0641" w:rsidRDefault="00000000">
            <w:r>
              <w:rPr>
                <w:rFonts w:ascii="Calibri" w:eastAsia="Calibri" w:hAnsi="Calibri" w:cs="Calibri"/>
                <w:b/>
                <w:bCs/>
                <w:color w:val="000000"/>
                <w:sz w:val="18"/>
                <w:szCs w:val="18"/>
              </w:rPr>
              <w:t>3a</w:t>
            </w:r>
          </w:p>
        </w:tc>
        <w:tc>
          <w:tcPr>
            <w:tcW w:w="3600" w:type="dxa"/>
            <w:tcMar>
              <w:top w:w="60" w:type="dxa"/>
              <w:left w:w="80" w:type="dxa"/>
              <w:bottom w:w="60" w:type="dxa"/>
              <w:right w:w="80" w:type="dxa"/>
            </w:tcMar>
            <w:vAlign w:val="center"/>
          </w:tcPr>
          <w:p w14:paraId="463F9DB4" w14:textId="77777777" w:rsidR="009A0641" w:rsidRPr="00A612A6" w:rsidRDefault="00000000">
            <w:pPr>
              <w:rPr>
                <w:lang w:val="en-US"/>
              </w:rPr>
            </w:pPr>
            <w:r w:rsidRPr="00A612A6">
              <w:rPr>
                <w:rFonts w:ascii="Calibri" w:eastAsia="Calibri" w:hAnsi="Calibri" w:cs="Calibri"/>
                <w:color w:val="000000"/>
                <w:sz w:val="18"/>
                <w:szCs w:val="18"/>
                <w:lang w:val="en-US"/>
              </w:rPr>
              <w:t>Explain the healthcare context and rationale, including references to existing models.</w:t>
            </w:r>
          </w:p>
        </w:tc>
        <w:tc>
          <w:tcPr>
            <w:tcW w:w="1000" w:type="dxa"/>
            <w:tcMar>
              <w:top w:w="60" w:type="dxa"/>
              <w:left w:w="80" w:type="dxa"/>
              <w:bottom w:w="60" w:type="dxa"/>
              <w:right w:w="80" w:type="dxa"/>
            </w:tcMar>
            <w:vAlign w:val="center"/>
          </w:tcPr>
          <w:p w14:paraId="1191DFFB"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244A4EA4" w14:textId="77777777" w:rsidR="009A0641" w:rsidRDefault="00000000">
            <w:r>
              <w:rPr>
                <w:rFonts w:ascii="Calibri" w:eastAsia="Calibri" w:hAnsi="Calibri" w:cs="Calibri"/>
                <w:color w:val="000000"/>
                <w:sz w:val="18"/>
                <w:szCs w:val="18"/>
              </w:rPr>
              <w:t>Introduction</w:t>
            </w:r>
          </w:p>
        </w:tc>
        <w:tc>
          <w:tcPr>
            <w:tcW w:w="2540" w:type="dxa"/>
            <w:tcMar>
              <w:top w:w="60" w:type="dxa"/>
              <w:left w:w="80" w:type="dxa"/>
              <w:bottom w:w="60" w:type="dxa"/>
              <w:right w:w="80" w:type="dxa"/>
            </w:tcMar>
            <w:vAlign w:val="center"/>
          </w:tcPr>
          <w:p w14:paraId="51B7B4BB" w14:textId="77777777" w:rsidR="009A0641" w:rsidRDefault="009A0641"/>
        </w:tc>
      </w:tr>
      <w:tr w:rsidR="009A0641" w:rsidRPr="00A612A6" w14:paraId="23D0D542" w14:textId="77777777">
        <w:tc>
          <w:tcPr>
            <w:tcW w:w="700" w:type="dxa"/>
            <w:tcMar>
              <w:top w:w="60" w:type="dxa"/>
              <w:left w:w="80" w:type="dxa"/>
              <w:bottom w:w="60" w:type="dxa"/>
              <w:right w:w="80" w:type="dxa"/>
            </w:tcMar>
            <w:vAlign w:val="center"/>
          </w:tcPr>
          <w:p w14:paraId="204EE851" w14:textId="77777777" w:rsidR="009A0641" w:rsidRDefault="00000000">
            <w:r>
              <w:rPr>
                <w:rFonts w:ascii="Calibri" w:eastAsia="Calibri" w:hAnsi="Calibri" w:cs="Calibri"/>
                <w:b/>
                <w:bCs/>
                <w:color w:val="000000"/>
                <w:sz w:val="18"/>
                <w:szCs w:val="18"/>
              </w:rPr>
              <w:t>3b</w:t>
            </w:r>
          </w:p>
        </w:tc>
        <w:tc>
          <w:tcPr>
            <w:tcW w:w="3600" w:type="dxa"/>
            <w:tcMar>
              <w:top w:w="60" w:type="dxa"/>
              <w:left w:w="80" w:type="dxa"/>
              <w:bottom w:w="60" w:type="dxa"/>
              <w:right w:w="80" w:type="dxa"/>
            </w:tcMar>
            <w:vAlign w:val="center"/>
          </w:tcPr>
          <w:p w14:paraId="0E333CF3" w14:textId="77777777" w:rsidR="009A0641" w:rsidRPr="00A612A6" w:rsidRDefault="00000000">
            <w:pPr>
              <w:rPr>
                <w:lang w:val="en-US"/>
              </w:rPr>
            </w:pPr>
            <w:r w:rsidRPr="00A612A6">
              <w:rPr>
                <w:rFonts w:ascii="Calibri" w:eastAsia="Calibri" w:hAnsi="Calibri" w:cs="Calibri"/>
                <w:color w:val="000000"/>
                <w:sz w:val="18"/>
                <w:szCs w:val="18"/>
                <w:lang w:val="en-US"/>
              </w:rPr>
              <w:t>Describe the target population and intended purpose/care pathway, including intended users.</w:t>
            </w:r>
          </w:p>
        </w:tc>
        <w:tc>
          <w:tcPr>
            <w:tcW w:w="1000" w:type="dxa"/>
            <w:tcMar>
              <w:top w:w="60" w:type="dxa"/>
              <w:left w:w="80" w:type="dxa"/>
              <w:bottom w:w="60" w:type="dxa"/>
              <w:right w:w="80" w:type="dxa"/>
            </w:tcMar>
            <w:vAlign w:val="center"/>
          </w:tcPr>
          <w:p w14:paraId="5EB601BB" w14:textId="45B5CB2C" w:rsidR="009A0641" w:rsidRDefault="00705596">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076D3968" w14:textId="77777777" w:rsidR="009A0641" w:rsidRDefault="00000000">
            <w:r>
              <w:rPr>
                <w:rFonts w:ascii="Calibri" w:eastAsia="Calibri" w:hAnsi="Calibri" w:cs="Calibri"/>
                <w:color w:val="000000"/>
                <w:sz w:val="18"/>
                <w:szCs w:val="18"/>
              </w:rPr>
              <w:t>Introduction</w:t>
            </w:r>
          </w:p>
        </w:tc>
        <w:tc>
          <w:tcPr>
            <w:tcW w:w="2540" w:type="dxa"/>
            <w:tcMar>
              <w:top w:w="60" w:type="dxa"/>
              <w:left w:w="80" w:type="dxa"/>
              <w:bottom w:w="60" w:type="dxa"/>
              <w:right w:w="80" w:type="dxa"/>
            </w:tcMar>
            <w:vAlign w:val="center"/>
          </w:tcPr>
          <w:p w14:paraId="043FEF6D" w14:textId="49894E1F" w:rsidR="009A0641" w:rsidRPr="00A612A6" w:rsidRDefault="00705596">
            <w:pPr>
              <w:rPr>
                <w:lang w:val="en-US"/>
              </w:rPr>
            </w:pPr>
            <w:r w:rsidRPr="00705596">
              <w:rPr>
                <w:rFonts w:ascii="Calibri" w:eastAsia="Calibri" w:hAnsi="Calibri" w:cs="Calibri"/>
                <w:color w:val="007A00"/>
                <w:sz w:val="18"/>
                <w:szCs w:val="18"/>
                <w:lang w:val="en-US"/>
              </w:rPr>
              <w:t>Target population, intended users, intended purpose, and intended placement in the preoperative care pathway are explicitly described in the Introduction.</w:t>
            </w:r>
          </w:p>
        </w:tc>
      </w:tr>
      <w:tr w:rsidR="009A0641" w:rsidRPr="00A612A6" w14:paraId="1786A80C" w14:textId="77777777">
        <w:tc>
          <w:tcPr>
            <w:tcW w:w="700" w:type="dxa"/>
            <w:tcMar>
              <w:top w:w="60" w:type="dxa"/>
              <w:left w:w="80" w:type="dxa"/>
              <w:bottom w:w="60" w:type="dxa"/>
              <w:right w:w="80" w:type="dxa"/>
            </w:tcMar>
            <w:vAlign w:val="center"/>
          </w:tcPr>
          <w:p w14:paraId="1D920258" w14:textId="77777777" w:rsidR="009A0641" w:rsidRDefault="00000000">
            <w:r>
              <w:rPr>
                <w:rFonts w:ascii="Calibri" w:eastAsia="Calibri" w:hAnsi="Calibri" w:cs="Calibri"/>
                <w:b/>
                <w:bCs/>
                <w:color w:val="000000"/>
                <w:sz w:val="18"/>
                <w:szCs w:val="18"/>
              </w:rPr>
              <w:t>3c</w:t>
            </w:r>
          </w:p>
        </w:tc>
        <w:tc>
          <w:tcPr>
            <w:tcW w:w="3600" w:type="dxa"/>
            <w:tcMar>
              <w:top w:w="60" w:type="dxa"/>
              <w:left w:w="80" w:type="dxa"/>
              <w:bottom w:w="60" w:type="dxa"/>
              <w:right w:w="80" w:type="dxa"/>
            </w:tcMar>
            <w:vAlign w:val="center"/>
          </w:tcPr>
          <w:p w14:paraId="0570BABF" w14:textId="77777777" w:rsidR="009A0641" w:rsidRPr="00A612A6" w:rsidRDefault="00000000">
            <w:pPr>
              <w:rPr>
                <w:lang w:val="en-US"/>
              </w:rPr>
            </w:pPr>
            <w:r w:rsidRPr="00A612A6">
              <w:rPr>
                <w:rFonts w:ascii="Calibri" w:eastAsia="Calibri" w:hAnsi="Calibri" w:cs="Calibri"/>
                <w:color w:val="000000"/>
                <w:sz w:val="18"/>
                <w:szCs w:val="18"/>
                <w:lang w:val="en-US"/>
              </w:rPr>
              <w:t>Describe any known health inequalities between sociodemographic groups.</w:t>
            </w:r>
          </w:p>
        </w:tc>
        <w:tc>
          <w:tcPr>
            <w:tcW w:w="1000" w:type="dxa"/>
            <w:tcMar>
              <w:top w:w="60" w:type="dxa"/>
              <w:left w:w="80" w:type="dxa"/>
              <w:bottom w:w="60" w:type="dxa"/>
              <w:right w:w="80" w:type="dxa"/>
            </w:tcMar>
            <w:vAlign w:val="center"/>
          </w:tcPr>
          <w:p w14:paraId="50B8DD85" w14:textId="1EC7D4DF" w:rsidR="009A0641" w:rsidRDefault="00705596">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5F1710A1" w14:textId="791D3F83" w:rsidR="009A0641" w:rsidRPr="00705596" w:rsidRDefault="00705596">
            <w:pPr>
              <w:rPr>
                <w:lang w:val="en-US"/>
              </w:rPr>
            </w:pPr>
            <w:r>
              <w:rPr>
                <w:rFonts w:ascii="Calibri" w:eastAsia="Calibri" w:hAnsi="Calibri" w:cs="Calibri"/>
                <w:color w:val="000000"/>
                <w:sz w:val="18"/>
                <w:szCs w:val="18"/>
                <w:lang w:val="en-US"/>
              </w:rPr>
              <w:t>Limitations</w:t>
            </w:r>
          </w:p>
        </w:tc>
        <w:tc>
          <w:tcPr>
            <w:tcW w:w="2540" w:type="dxa"/>
            <w:tcMar>
              <w:top w:w="60" w:type="dxa"/>
              <w:left w:w="80" w:type="dxa"/>
              <w:bottom w:w="60" w:type="dxa"/>
              <w:right w:w="80" w:type="dxa"/>
            </w:tcMar>
            <w:vAlign w:val="center"/>
          </w:tcPr>
          <w:p w14:paraId="12E5DE1D" w14:textId="7A263457" w:rsidR="009A0641" w:rsidRPr="00705596" w:rsidRDefault="00705596">
            <w:pPr>
              <w:rPr>
                <w:color w:val="7030A0"/>
                <w:lang w:val="en-US"/>
              </w:rPr>
            </w:pPr>
            <w:r w:rsidRPr="00705596">
              <w:rPr>
                <w:rFonts w:ascii="Calibri" w:eastAsia="Calibri" w:hAnsi="Calibri" w:cs="Calibri"/>
                <w:color w:val="007A00"/>
                <w:sz w:val="18"/>
                <w:szCs w:val="18"/>
              </w:rPr>
              <w:t>The manuscript explicitly states that sociodemographic health inequalities were not assessed because of the small single-center cohort and identifies this as a limitation requiring future evaluation.</w:t>
            </w:r>
          </w:p>
        </w:tc>
      </w:tr>
      <w:tr w:rsidR="009A0641" w14:paraId="54AA84C5" w14:textId="77777777">
        <w:tc>
          <w:tcPr>
            <w:tcW w:w="10440" w:type="dxa"/>
            <w:gridSpan w:val="5"/>
            <w:shd w:val="clear" w:color="auto" w:fill="D9E2F3"/>
            <w:tcMar>
              <w:top w:w="60" w:type="dxa"/>
              <w:left w:w="80" w:type="dxa"/>
              <w:bottom w:w="60" w:type="dxa"/>
              <w:right w:w="80" w:type="dxa"/>
            </w:tcMar>
          </w:tcPr>
          <w:p w14:paraId="23E99FF7" w14:textId="77777777" w:rsidR="009A0641" w:rsidRDefault="00000000">
            <w:r>
              <w:rPr>
                <w:rFonts w:ascii="Calibri" w:eastAsia="Calibri" w:hAnsi="Calibri" w:cs="Calibri"/>
                <w:b/>
                <w:bCs/>
                <w:sz w:val="19"/>
                <w:szCs w:val="19"/>
              </w:rPr>
              <w:t>Introduction — Objectives</w:t>
            </w:r>
          </w:p>
        </w:tc>
      </w:tr>
      <w:tr w:rsidR="009A0641" w:rsidRPr="00A612A6" w14:paraId="77BADD32" w14:textId="77777777">
        <w:tc>
          <w:tcPr>
            <w:tcW w:w="700" w:type="dxa"/>
            <w:tcMar>
              <w:top w:w="60" w:type="dxa"/>
              <w:left w:w="80" w:type="dxa"/>
              <w:bottom w:w="60" w:type="dxa"/>
              <w:right w:w="80" w:type="dxa"/>
            </w:tcMar>
            <w:vAlign w:val="center"/>
          </w:tcPr>
          <w:p w14:paraId="2CB462B1" w14:textId="77777777" w:rsidR="009A0641" w:rsidRDefault="00000000">
            <w:r>
              <w:rPr>
                <w:rFonts w:ascii="Calibri" w:eastAsia="Calibri" w:hAnsi="Calibri" w:cs="Calibri"/>
                <w:b/>
                <w:bCs/>
                <w:color w:val="000000"/>
                <w:sz w:val="18"/>
                <w:szCs w:val="18"/>
              </w:rPr>
              <w:lastRenderedPageBreak/>
              <w:t>4</w:t>
            </w:r>
          </w:p>
        </w:tc>
        <w:tc>
          <w:tcPr>
            <w:tcW w:w="3600" w:type="dxa"/>
            <w:tcMar>
              <w:top w:w="60" w:type="dxa"/>
              <w:left w:w="80" w:type="dxa"/>
              <w:bottom w:w="60" w:type="dxa"/>
              <w:right w:w="80" w:type="dxa"/>
            </w:tcMar>
            <w:vAlign w:val="center"/>
          </w:tcPr>
          <w:p w14:paraId="1F3AF413" w14:textId="77777777" w:rsidR="009A0641" w:rsidRPr="00A612A6" w:rsidRDefault="00000000">
            <w:pPr>
              <w:rPr>
                <w:lang w:val="en-US"/>
              </w:rPr>
            </w:pPr>
            <w:r w:rsidRPr="00A612A6">
              <w:rPr>
                <w:rFonts w:ascii="Calibri" w:eastAsia="Calibri" w:hAnsi="Calibri" w:cs="Calibri"/>
                <w:color w:val="000000"/>
                <w:sz w:val="18"/>
                <w:szCs w:val="18"/>
                <w:lang w:val="en-US"/>
              </w:rPr>
              <w:t>Specify study objectives, including development and/or validation.</w:t>
            </w:r>
          </w:p>
        </w:tc>
        <w:tc>
          <w:tcPr>
            <w:tcW w:w="1000" w:type="dxa"/>
            <w:tcMar>
              <w:top w:w="60" w:type="dxa"/>
              <w:left w:w="80" w:type="dxa"/>
              <w:bottom w:w="60" w:type="dxa"/>
              <w:right w:w="80" w:type="dxa"/>
            </w:tcMar>
            <w:vAlign w:val="center"/>
          </w:tcPr>
          <w:p w14:paraId="33B2333A"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566405FF" w14:textId="77777777" w:rsidR="009A0641" w:rsidRDefault="00000000">
            <w:r>
              <w:rPr>
                <w:rFonts w:ascii="Calibri" w:eastAsia="Calibri" w:hAnsi="Calibri" w:cs="Calibri"/>
                <w:color w:val="000000"/>
                <w:sz w:val="18"/>
                <w:szCs w:val="18"/>
              </w:rPr>
              <w:t>Introduction, closing paragraph</w:t>
            </w:r>
          </w:p>
        </w:tc>
        <w:tc>
          <w:tcPr>
            <w:tcW w:w="2540" w:type="dxa"/>
            <w:tcMar>
              <w:top w:w="60" w:type="dxa"/>
              <w:left w:w="80" w:type="dxa"/>
              <w:bottom w:w="60" w:type="dxa"/>
              <w:right w:w="80" w:type="dxa"/>
            </w:tcMar>
            <w:vAlign w:val="center"/>
          </w:tcPr>
          <w:p w14:paraId="5646DDE1" w14:textId="77777777" w:rsidR="009A0641" w:rsidRPr="00A612A6" w:rsidRDefault="00000000">
            <w:pPr>
              <w:rPr>
                <w:lang w:val="en-US"/>
              </w:rPr>
            </w:pPr>
            <w:r w:rsidRPr="00A612A6">
              <w:rPr>
                <w:rFonts w:ascii="Calibri" w:eastAsia="Calibri" w:hAnsi="Calibri" w:cs="Calibri"/>
                <w:color w:val="000000"/>
                <w:sz w:val="18"/>
                <w:szCs w:val="18"/>
                <w:lang w:val="en-US"/>
              </w:rPr>
              <w:t>Explicitly a development-only pilot; no external validation performed.</w:t>
            </w:r>
          </w:p>
        </w:tc>
      </w:tr>
      <w:tr w:rsidR="009A0641" w14:paraId="56F5E953" w14:textId="77777777">
        <w:tc>
          <w:tcPr>
            <w:tcW w:w="10440" w:type="dxa"/>
            <w:gridSpan w:val="5"/>
            <w:shd w:val="clear" w:color="auto" w:fill="D9E2F3"/>
            <w:tcMar>
              <w:top w:w="60" w:type="dxa"/>
              <w:left w:w="80" w:type="dxa"/>
              <w:bottom w:w="60" w:type="dxa"/>
              <w:right w:w="80" w:type="dxa"/>
            </w:tcMar>
          </w:tcPr>
          <w:p w14:paraId="56C4CCE9" w14:textId="77777777" w:rsidR="009A0641" w:rsidRDefault="00000000">
            <w:r>
              <w:rPr>
                <w:rFonts w:ascii="Calibri" w:eastAsia="Calibri" w:hAnsi="Calibri" w:cs="Calibri"/>
                <w:b/>
                <w:bCs/>
                <w:sz w:val="19"/>
                <w:szCs w:val="19"/>
              </w:rPr>
              <w:t>Methods — Data</w:t>
            </w:r>
          </w:p>
        </w:tc>
      </w:tr>
      <w:tr w:rsidR="009A0641" w:rsidRPr="00A612A6" w14:paraId="1C3A2674" w14:textId="77777777">
        <w:tc>
          <w:tcPr>
            <w:tcW w:w="700" w:type="dxa"/>
            <w:tcMar>
              <w:top w:w="60" w:type="dxa"/>
              <w:left w:w="80" w:type="dxa"/>
              <w:bottom w:w="60" w:type="dxa"/>
              <w:right w:w="80" w:type="dxa"/>
            </w:tcMar>
            <w:vAlign w:val="center"/>
          </w:tcPr>
          <w:p w14:paraId="3304F776" w14:textId="77777777" w:rsidR="009A0641" w:rsidRDefault="00000000">
            <w:r>
              <w:rPr>
                <w:rFonts w:ascii="Calibri" w:eastAsia="Calibri" w:hAnsi="Calibri" w:cs="Calibri"/>
                <w:b/>
                <w:bCs/>
                <w:color w:val="000000"/>
                <w:sz w:val="18"/>
                <w:szCs w:val="18"/>
              </w:rPr>
              <w:t>5a</w:t>
            </w:r>
          </w:p>
        </w:tc>
        <w:tc>
          <w:tcPr>
            <w:tcW w:w="3600" w:type="dxa"/>
            <w:tcMar>
              <w:top w:w="60" w:type="dxa"/>
              <w:left w:w="80" w:type="dxa"/>
              <w:bottom w:w="60" w:type="dxa"/>
              <w:right w:w="80" w:type="dxa"/>
            </w:tcMar>
            <w:vAlign w:val="center"/>
          </w:tcPr>
          <w:p w14:paraId="60962954" w14:textId="77777777" w:rsidR="009A0641" w:rsidRPr="00A612A6" w:rsidRDefault="00000000">
            <w:pPr>
              <w:rPr>
                <w:lang w:val="en-US"/>
              </w:rPr>
            </w:pPr>
            <w:r w:rsidRPr="00A612A6">
              <w:rPr>
                <w:rFonts w:ascii="Calibri" w:eastAsia="Calibri" w:hAnsi="Calibri" w:cs="Calibri"/>
                <w:color w:val="000000"/>
                <w:sz w:val="18"/>
                <w:szCs w:val="18"/>
                <w:lang w:val="en-US"/>
              </w:rPr>
              <w:t>Sources of data (development and evaluation), rationale, representativeness.</w:t>
            </w:r>
          </w:p>
        </w:tc>
        <w:tc>
          <w:tcPr>
            <w:tcW w:w="1000" w:type="dxa"/>
            <w:tcMar>
              <w:top w:w="60" w:type="dxa"/>
              <w:left w:w="80" w:type="dxa"/>
              <w:bottom w:w="60" w:type="dxa"/>
              <w:right w:w="80" w:type="dxa"/>
            </w:tcMar>
            <w:vAlign w:val="center"/>
          </w:tcPr>
          <w:p w14:paraId="7BBC75F2"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0805BD7A" w14:textId="77777777" w:rsidR="009A0641" w:rsidRDefault="00000000">
            <w:r>
              <w:rPr>
                <w:rFonts w:ascii="Calibri" w:eastAsia="Calibri" w:hAnsi="Calibri" w:cs="Calibri"/>
                <w:color w:val="000000"/>
                <w:sz w:val="18"/>
                <w:szCs w:val="18"/>
              </w:rPr>
              <w:t>Study design and participants</w:t>
            </w:r>
          </w:p>
        </w:tc>
        <w:tc>
          <w:tcPr>
            <w:tcW w:w="2540" w:type="dxa"/>
            <w:tcMar>
              <w:top w:w="60" w:type="dxa"/>
              <w:left w:w="80" w:type="dxa"/>
              <w:bottom w:w="60" w:type="dxa"/>
              <w:right w:w="80" w:type="dxa"/>
            </w:tcMar>
            <w:vAlign w:val="center"/>
          </w:tcPr>
          <w:p w14:paraId="5F42AED6" w14:textId="77777777" w:rsidR="009A0641" w:rsidRPr="00A612A6" w:rsidRDefault="00000000">
            <w:pPr>
              <w:rPr>
                <w:lang w:val="en-US"/>
              </w:rPr>
            </w:pPr>
            <w:r w:rsidRPr="00A612A6">
              <w:rPr>
                <w:rFonts w:ascii="Calibri" w:eastAsia="Calibri" w:hAnsi="Calibri" w:cs="Calibri"/>
                <w:color w:val="000000"/>
                <w:sz w:val="18"/>
                <w:szCs w:val="18"/>
                <w:lang w:val="en-US"/>
              </w:rPr>
              <w:t>Single dataset; internal cross-validation only, no separate evaluation dataset.</w:t>
            </w:r>
          </w:p>
        </w:tc>
      </w:tr>
      <w:tr w:rsidR="009A0641" w:rsidRPr="00A612A6" w14:paraId="1E0FCA3E" w14:textId="77777777">
        <w:tc>
          <w:tcPr>
            <w:tcW w:w="700" w:type="dxa"/>
            <w:tcMar>
              <w:top w:w="60" w:type="dxa"/>
              <w:left w:w="80" w:type="dxa"/>
              <w:bottom w:w="60" w:type="dxa"/>
              <w:right w:w="80" w:type="dxa"/>
            </w:tcMar>
            <w:vAlign w:val="center"/>
          </w:tcPr>
          <w:p w14:paraId="7DE1FA64" w14:textId="77777777" w:rsidR="009A0641" w:rsidRDefault="00000000">
            <w:r>
              <w:rPr>
                <w:rFonts w:ascii="Calibri" w:eastAsia="Calibri" w:hAnsi="Calibri" w:cs="Calibri"/>
                <w:b/>
                <w:bCs/>
                <w:color w:val="000000"/>
                <w:sz w:val="18"/>
                <w:szCs w:val="18"/>
              </w:rPr>
              <w:t>5b</w:t>
            </w:r>
          </w:p>
        </w:tc>
        <w:tc>
          <w:tcPr>
            <w:tcW w:w="3600" w:type="dxa"/>
            <w:tcMar>
              <w:top w:w="60" w:type="dxa"/>
              <w:left w:w="80" w:type="dxa"/>
              <w:bottom w:w="60" w:type="dxa"/>
              <w:right w:w="80" w:type="dxa"/>
            </w:tcMar>
            <w:vAlign w:val="center"/>
          </w:tcPr>
          <w:p w14:paraId="614FCEC1" w14:textId="77777777" w:rsidR="009A0641" w:rsidRPr="00A612A6" w:rsidRDefault="00000000">
            <w:pPr>
              <w:rPr>
                <w:lang w:val="en-US"/>
              </w:rPr>
            </w:pPr>
            <w:r w:rsidRPr="00A612A6">
              <w:rPr>
                <w:rFonts w:ascii="Calibri" w:eastAsia="Calibri" w:hAnsi="Calibri" w:cs="Calibri"/>
                <w:color w:val="000000"/>
                <w:sz w:val="18"/>
                <w:szCs w:val="18"/>
                <w:lang w:val="en-US"/>
              </w:rPr>
              <w:t>Dates of participant data collection (accrual start/end; follow-up end).</w:t>
            </w:r>
          </w:p>
        </w:tc>
        <w:tc>
          <w:tcPr>
            <w:tcW w:w="1000" w:type="dxa"/>
            <w:tcMar>
              <w:top w:w="60" w:type="dxa"/>
              <w:left w:w="80" w:type="dxa"/>
              <w:bottom w:w="60" w:type="dxa"/>
              <w:right w:w="80" w:type="dxa"/>
            </w:tcMar>
            <w:vAlign w:val="center"/>
          </w:tcPr>
          <w:p w14:paraId="4DBBA8D7" w14:textId="0CD1DBB5" w:rsidR="009A0641" w:rsidRDefault="00705596">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33491B12" w14:textId="3252F9C8" w:rsidR="009A0641" w:rsidRPr="00705596" w:rsidRDefault="00705596">
            <w:pPr>
              <w:rPr>
                <w:lang w:val="en-US"/>
              </w:rPr>
            </w:pPr>
            <w:r>
              <w:rPr>
                <w:lang w:val="en-US"/>
              </w:rPr>
              <w:t>Study design and participants</w:t>
            </w:r>
          </w:p>
        </w:tc>
        <w:tc>
          <w:tcPr>
            <w:tcW w:w="2540" w:type="dxa"/>
            <w:tcMar>
              <w:top w:w="60" w:type="dxa"/>
              <w:left w:w="80" w:type="dxa"/>
              <w:bottom w:w="60" w:type="dxa"/>
              <w:right w:w="80" w:type="dxa"/>
            </w:tcMar>
            <w:vAlign w:val="center"/>
          </w:tcPr>
          <w:p w14:paraId="16A048A6" w14:textId="4AAAA6F2" w:rsidR="009A0641" w:rsidRPr="00A612A6" w:rsidRDefault="00705596">
            <w:pPr>
              <w:rPr>
                <w:lang w:val="en-US"/>
              </w:rPr>
            </w:pPr>
            <w:r>
              <w:rPr>
                <w:lang w:val="en-US"/>
              </w:rPr>
              <w:t>Between January 2025 and August 2026</w:t>
            </w:r>
          </w:p>
        </w:tc>
      </w:tr>
      <w:tr w:rsidR="009A0641" w14:paraId="331F79CE" w14:textId="77777777">
        <w:tc>
          <w:tcPr>
            <w:tcW w:w="10440" w:type="dxa"/>
            <w:gridSpan w:val="5"/>
            <w:shd w:val="clear" w:color="auto" w:fill="D9E2F3"/>
            <w:tcMar>
              <w:top w:w="60" w:type="dxa"/>
              <w:left w:w="80" w:type="dxa"/>
              <w:bottom w:w="60" w:type="dxa"/>
              <w:right w:w="80" w:type="dxa"/>
            </w:tcMar>
          </w:tcPr>
          <w:p w14:paraId="5ECE805E" w14:textId="77777777" w:rsidR="009A0641" w:rsidRDefault="00000000">
            <w:r>
              <w:rPr>
                <w:rFonts w:ascii="Calibri" w:eastAsia="Calibri" w:hAnsi="Calibri" w:cs="Calibri"/>
                <w:b/>
                <w:bCs/>
                <w:sz w:val="19"/>
                <w:szCs w:val="19"/>
              </w:rPr>
              <w:t>Methods — Participants</w:t>
            </w:r>
          </w:p>
        </w:tc>
      </w:tr>
      <w:tr w:rsidR="009A0641" w:rsidRPr="00A612A6" w14:paraId="7AF1DC2F" w14:textId="77777777">
        <w:tc>
          <w:tcPr>
            <w:tcW w:w="700" w:type="dxa"/>
            <w:tcMar>
              <w:top w:w="60" w:type="dxa"/>
              <w:left w:w="80" w:type="dxa"/>
              <w:bottom w:w="60" w:type="dxa"/>
              <w:right w:w="80" w:type="dxa"/>
            </w:tcMar>
            <w:vAlign w:val="center"/>
          </w:tcPr>
          <w:p w14:paraId="59909DA4" w14:textId="77777777" w:rsidR="009A0641" w:rsidRDefault="00000000">
            <w:r>
              <w:rPr>
                <w:rFonts w:ascii="Calibri" w:eastAsia="Calibri" w:hAnsi="Calibri" w:cs="Calibri"/>
                <w:b/>
                <w:bCs/>
                <w:color w:val="000000"/>
                <w:sz w:val="18"/>
                <w:szCs w:val="18"/>
              </w:rPr>
              <w:t>6a</w:t>
            </w:r>
          </w:p>
        </w:tc>
        <w:tc>
          <w:tcPr>
            <w:tcW w:w="3600" w:type="dxa"/>
            <w:tcMar>
              <w:top w:w="60" w:type="dxa"/>
              <w:left w:w="80" w:type="dxa"/>
              <w:bottom w:w="60" w:type="dxa"/>
              <w:right w:w="80" w:type="dxa"/>
            </w:tcMar>
            <w:vAlign w:val="center"/>
          </w:tcPr>
          <w:p w14:paraId="1BFC7333" w14:textId="77777777" w:rsidR="009A0641" w:rsidRPr="00A612A6" w:rsidRDefault="00000000">
            <w:pPr>
              <w:rPr>
                <w:lang w:val="en-US"/>
              </w:rPr>
            </w:pPr>
            <w:r w:rsidRPr="00A612A6">
              <w:rPr>
                <w:rFonts w:ascii="Calibri" w:eastAsia="Calibri" w:hAnsi="Calibri" w:cs="Calibri"/>
                <w:color w:val="000000"/>
                <w:sz w:val="18"/>
                <w:szCs w:val="18"/>
                <w:lang w:val="en-US"/>
              </w:rPr>
              <w:t>Key elements of setting, including number/location of centres.</w:t>
            </w:r>
          </w:p>
        </w:tc>
        <w:tc>
          <w:tcPr>
            <w:tcW w:w="1000" w:type="dxa"/>
            <w:tcMar>
              <w:top w:w="60" w:type="dxa"/>
              <w:left w:w="80" w:type="dxa"/>
              <w:bottom w:w="60" w:type="dxa"/>
              <w:right w:w="80" w:type="dxa"/>
            </w:tcMar>
            <w:vAlign w:val="center"/>
          </w:tcPr>
          <w:p w14:paraId="3EDC1E1B"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1D7BBC97" w14:textId="77777777" w:rsidR="009A0641" w:rsidRPr="00A612A6" w:rsidRDefault="00000000">
            <w:pPr>
              <w:rPr>
                <w:lang w:val="en-US"/>
              </w:rPr>
            </w:pPr>
            <w:r>
              <w:rPr>
                <w:rFonts w:ascii="Calibri" w:eastAsia="Calibri" w:hAnsi="Calibri" w:cs="Calibri"/>
                <w:color w:val="0070C0"/>
                <w:sz w:val="18"/>
                <w:szCs w:val="18"/>
                <w:lang w:val="en-US"/>
              </w:rPr>
              <w:t>Study design and participants</w:t>
            </w:r>
          </w:p>
        </w:tc>
        <w:tc>
          <w:tcPr>
            <w:tcW w:w="2540" w:type="dxa"/>
            <w:tcMar>
              <w:top w:w="60" w:type="dxa"/>
              <w:left w:w="80" w:type="dxa"/>
              <w:bottom w:w="60" w:type="dxa"/>
              <w:right w:w="80" w:type="dxa"/>
            </w:tcMar>
            <w:vAlign w:val="center"/>
          </w:tcPr>
          <w:p w14:paraId="2EFEAAF9" w14:textId="77777777" w:rsidR="009A0641" w:rsidRPr="00A612A6" w:rsidRDefault="00000000">
            <w:pPr>
              <w:rPr>
                <w:lang w:val="en-US"/>
              </w:rPr>
            </w:pPr>
            <w:r>
              <w:rPr>
                <w:rFonts w:ascii="Calibri" w:eastAsia="Calibri" w:hAnsi="Calibri" w:cs="Calibri"/>
                <w:color w:val="0070C0"/>
                <w:sz w:val="18"/>
                <w:szCs w:val="18"/>
                <w:lang w:val="en-US"/>
              </w:rPr>
              <w:t>Single-center PIPAC program at a national research oncology center in Kazakhstan (institution name withheld for blinded review; given on the title page). Reviewer 2, Comment 3.</w:t>
            </w:r>
          </w:p>
        </w:tc>
      </w:tr>
      <w:tr w:rsidR="009A0641" w14:paraId="392051D5" w14:textId="77777777">
        <w:tc>
          <w:tcPr>
            <w:tcW w:w="700" w:type="dxa"/>
            <w:tcMar>
              <w:top w:w="60" w:type="dxa"/>
              <w:left w:w="80" w:type="dxa"/>
              <w:bottom w:w="60" w:type="dxa"/>
              <w:right w:w="80" w:type="dxa"/>
            </w:tcMar>
            <w:vAlign w:val="center"/>
          </w:tcPr>
          <w:p w14:paraId="2B98ED16" w14:textId="77777777" w:rsidR="009A0641" w:rsidRDefault="00000000">
            <w:r>
              <w:rPr>
                <w:rFonts w:ascii="Calibri" w:eastAsia="Calibri" w:hAnsi="Calibri" w:cs="Calibri"/>
                <w:b/>
                <w:bCs/>
                <w:color w:val="000000"/>
                <w:sz w:val="18"/>
                <w:szCs w:val="18"/>
              </w:rPr>
              <w:t>6b</w:t>
            </w:r>
          </w:p>
        </w:tc>
        <w:tc>
          <w:tcPr>
            <w:tcW w:w="3600" w:type="dxa"/>
            <w:tcMar>
              <w:top w:w="60" w:type="dxa"/>
              <w:left w:w="80" w:type="dxa"/>
              <w:bottom w:w="60" w:type="dxa"/>
              <w:right w:w="80" w:type="dxa"/>
            </w:tcMar>
            <w:vAlign w:val="center"/>
          </w:tcPr>
          <w:p w14:paraId="24CC4221" w14:textId="77777777" w:rsidR="009A0641" w:rsidRDefault="00000000">
            <w:r>
              <w:rPr>
                <w:rFonts w:ascii="Calibri" w:eastAsia="Calibri" w:hAnsi="Calibri" w:cs="Calibri"/>
                <w:color w:val="000000"/>
                <w:sz w:val="18"/>
                <w:szCs w:val="18"/>
              </w:rPr>
              <w:t>Eligibility criteria for participants.</w:t>
            </w:r>
          </w:p>
        </w:tc>
        <w:tc>
          <w:tcPr>
            <w:tcW w:w="1000" w:type="dxa"/>
            <w:tcMar>
              <w:top w:w="60" w:type="dxa"/>
              <w:left w:w="80" w:type="dxa"/>
              <w:bottom w:w="60" w:type="dxa"/>
              <w:right w:w="80" w:type="dxa"/>
            </w:tcMar>
            <w:vAlign w:val="center"/>
          </w:tcPr>
          <w:p w14:paraId="4B11BD5C"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029A564E" w14:textId="77777777" w:rsidR="009A0641" w:rsidRDefault="00000000">
            <w:r>
              <w:rPr>
                <w:rFonts w:ascii="Calibri" w:eastAsia="Calibri" w:hAnsi="Calibri" w:cs="Calibri"/>
                <w:color w:val="000000"/>
                <w:sz w:val="18"/>
                <w:szCs w:val="18"/>
              </w:rPr>
              <w:t>Study design and participants</w:t>
            </w:r>
          </w:p>
        </w:tc>
        <w:tc>
          <w:tcPr>
            <w:tcW w:w="2540" w:type="dxa"/>
            <w:tcMar>
              <w:top w:w="60" w:type="dxa"/>
              <w:left w:w="80" w:type="dxa"/>
              <w:bottom w:w="60" w:type="dxa"/>
              <w:right w:w="80" w:type="dxa"/>
            </w:tcMar>
            <w:vAlign w:val="center"/>
          </w:tcPr>
          <w:p w14:paraId="75EDA6AE" w14:textId="77777777" w:rsidR="009A0641" w:rsidRDefault="009A0641">
            <w:r>
              <w:rPr>
                <w:color w:val="0070C0"/>
              </w:rPr>
              <w:t xml:space="preserve">Parent-program eligibility: adults with histologically confirmed locally advanced gastric adenocarcinoma (cT3–4, cN0–3, M0), ECOG 0–2, negative peritoneal cytology, and staging laparoscopy; exclusions: distant metastases, prior gastric-cancer-directed chemotherapy, radiotherapy or surgery, severe comorbidity, contraindications to laparoscopy/PIPAC, hypersensitivity to cisplatin or doxorubicin, and active infection. Patient-level adherence cannot be verified from the de-identified dataset (five patients recorded as cT2 and one as cNx, outside the nominal ranges). The 15 patients without ypN are classified by reason with </w:t>
            </w:r>
            <w:r>
              <w:rPr>
                <w:color w:val="0070C0"/>
              </w:rPr>
              <w:lastRenderedPageBreak/>
              <w:t>counts (Reviewer 2, Comments 3–4).</w:t>
            </w:r>
          </w:p>
        </w:tc>
      </w:tr>
      <w:tr w:rsidR="009A0641" w:rsidRPr="00A612A6" w14:paraId="74FAC7BF" w14:textId="77777777">
        <w:tc>
          <w:tcPr>
            <w:tcW w:w="700" w:type="dxa"/>
            <w:tcMar>
              <w:top w:w="60" w:type="dxa"/>
              <w:left w:w="80" w:type="dxa"/>
              <w:bottom w:w="60" w:type="dxa"/>
              <w:right w:w="80" w:type="dxa"/>
            </w:tcMar>
            <w:vAlign w:val="center"/>
          </w:tcPr>
          <w:p w14:paraId="27F02316" w14:textId="77777777" w:rsidR="009A0641" w:rsidRDefault="00000000">
            <w:r>
              <w:rPr>
                <w:rFonts w:ascii="Calibri" w:eastAsia="Calibri" w:hAnsi="Calibri" w:cs="Calibri"/>
                <w:b/>
                <w:bCs/>
                <w:color w:val="000000"/>
                <w:sz w:val="18"/>
                <w:szCs w:val="18"/>
              </w:rPr>
              <w:lastRenderedPageBreak/>
              <w:t>6c</w:t>
            </w:r>
          </w:p>
        </w:tc>
        <w:tc>
          <w:tcPr>
            <w:tcW w:w="3600" w:type="dxa"/>
            <w:tcMar>
              <w:top w:w="60" w:type="dxa"/>
              <w:left w:w="80" w:type="dxa"/>
              <w:bottom w:w="60" w:type="dxa"/>
              <w:right w:w="80" w:type="dxa"/>
            </w:tcMar>
            <w:vAlign w:val="center"/>
          </w:tcPr>
          <w:p w14:paraId="427EBA24" w14:textId="77777777" w:rsidR="009A0641" w:rsidRPr="00A612A6" w:rsidRDefault="00000000">
            <w:pPr>
              <w:rPr>
                <w:lang w:val="en-US"/>
              </w:rPr>
            </w:pPr>
            <w:r w:rsidRPr="00A612A6">
              <w:rPr>
                <w:rFonts w:ascii="Calibri" w:eastAsia="Calibri" w:hAnsi="Calibri" w:cs="Calibri"/>
                <w:color w:val="000000"/>
                <w:sz w:val="18"/>
                <w:szCs w:val="18"/>
                <w:lang w:val="en-US"/>
              </w:rPr>
              <w:t>Treatments received and how handled during model development.</w:t>
            </w:r>
          </w:p>
        </w:tc>
        <w:tc>
          <w:tcPr>
            <w:tcW w:w="1000" w:type="dxa"/>
            <w:tcMar>
              <w:top w:w="60" w:type="dxa"/>
              <w:left w:w="80" w:type="dxa"/>
              <w:bottom w:w="60" w:type="dxa"/>
              <w:right w:w="80" w:type="dxa"/>
            </w:tcMar>
            <w:vAlign w:val="center"/>
          </w:tcPr>
          <w:p w14:paraId="12B7C4EF" w14:textId="77777777" w:rsidR="009A0641" w:rsidRDefault="00000000">
            <w:r>
              <w:rPr>
                <w:b/>
                <w:color w:val="1E7B34"/>
              </w:rPr>
              <w:t>Reported</w:t>
            </w:r>
          </w:p>
        </w:tc>
        <w:tc>
          <w:tcPr>
            <w:tcW w:w="2600" w:type="dxa"/>
            <w:tcMar>
              <w:top w:w="60" w:type="dxa"/>
              <w:left w:w="80" w:type="dxa"/>
              <w:bottom w:w="60" w:type="dxa"/>
              <w:right w:w="80" w:type="dxa"/>
            </w:tcMar>
            <w:vAlign w:val="center"/>
          </w:tcPr>
          <w:p w14:paraId="2F0AADBD" w14:textId="77777777" w:rsidR="009A0641" w:rsidRDefault="00000000">
            <w:r>
              <w:rPr>
                <w:rFonts w:ascii="Calibri" w:eastAsia="Calibri" w:hAnsi="Calibri" w:cs="Calibri"/>
                <w:color w:val="000000"/>
                <w:sz w:val="18"/>
                <w:szCs w:val="18"/>
              </w:rPr>
              <w:t>Study design and participants; Supplementary Methods S6</w:t>
            </w:r>
          </w:p>
        </w:tc>
        <w:tc>
          <w:tcPr>
            <w:tcW w:w="2540" w:type="dxa"/>
            <w:tcMar>
              <w:top w:w="60" w:type="dxa"/>
              <w:left w:w="80" w:type="dxa"/>
              <w:bottom w:w="60" w:type="dxa"/>
              <w:right w:w="80" w:type="dxa"/>
            </w:tcMar>
            <w:vAlign w:val="center"/>
          </w:tcPr>
          <w:p w14:paraId="47B7E5E1" w14:textId="77777777" w:rsidR="009A0641" w:rsidRPr="00A612A6" w:rsidRDefault="00000000">
            <w:pPr>
              <w:rPr>
                <w:lang w:val="en-US"/>
              </w:rPr>
            </w:pPr>
            <w:r w:rsidRPr="00A612A6">
              <w:rPr>
                <w:lang w:val="en-US"/>
              </w:rPr>
              <w:t>PIPAC administration is described in Study design and participants using only what the dataset supports: one recorded procedure-detail entry per patient (duration, cisplatin/doxorubicin dose); therapeutic-vs-prophylactic indication and neoadjuvant intent are not recorded in the dataset and are therefore not asserted. Neoadjuvant chemotherapy cycle completeness (87.1%), the adjuvant-regimen field, and the laparoscopy-to-surgery interval are reported in Supplementary Methods S6; the specific neoadjuvant regimen name is not captured as a distinct field, noted as a residual limitation.</w:t>
            </w:r>
          </w:p>
        </w:tc>
      </w:tr>
      <w:tr w:rsidR="009A0641" w14:paraId="19C5219C" w14:textId="77777777">
        <w:tc>
          <w:tcPr>
            <w:tcW w:w="10440" w:type="dxa"/>
            <w:gridSpan w:val="5"/>
            <w:shd w:val="clear" w:color="auto" w:fill="D9E2F3"/>
            <w:tcMar>
              <w:top w:w="60" w:type="dxa"/>
              <w:left w:w="80" w:type="dxa"/>
              <w:bottom w:w="60" w:type="dxa"/>
              <w:right w:w="80" w:type="dxa"/>
            </w:tcMar>
          </w:tcPr>
          <w:p w14:paraId="53CDD083" w14:textId="77777777" w:rsidR="009A0641" w:rsidRDefault="00000000">
            <w:r>
              <w:rPr>
                <w:rFonts w:ascii="Calibri" w:eastAsia="Calibri" w:hAnsi="Calibri" w:cs="Calibri"/>
                <w:b/>
                <w:bCs/>
                <w:sz w:val="19"/>
                <w:szCs w:val="19"/>
              </w:rPr>
              <w:t>Methods — Data Preparation</w:t>
            </w:r>
          </w:p>
        </w:tc>
      </w:tr>
      <w:tr w:rsidR="003737D0" w:rsidRPr="00A612A6" w14:paraId="317EB3B5" w14:textId="77777777">
        <w:tc>
          <w:tcPr>
            <w:tcW w:w="700" w:type="dxa"/>
            <w:tcMar>
              <w:top w:w="60" w:type="dxa"/>
              <w:left w:w="80" w:type="dxa"/>
              <w:bottom w:w="60" w:type="dxa"/>
              <w:right w:w="80" w:type="dxa"/>
            </w:tcMar>
            <w:vAlign w:val="center"/>
          </w:tcPr>
          <w:p w14:paraId="3AA7265A" w14:textId="77777777" w:rsidR="003737D0" w:rsidRDefault="003737D0" w:rsidP="003737D0">
            <w:r>
              <w:rPr>
                <w:rFonts w:ascii="Calibri" w:eastAsia="Calibri" w:hAnsi="Calibri" w:cs="Calibri"/>
                <w:b/>
                <w:bCs/>
                <w:color w:val="000000"/>
                <w:sz w:val="18"/>
                <w:szCs w:val="18"/>
              </w:rPr>
              <w:t>7</w:t>
            </w:r>
          </w:p>
        </w:tc>
        <w:tc>
          <w:tcPr>
            <w:tcW w:w="3600" w:type="dxa"/>
            <w:tcMar>
              <w:top w:w="60" w:type="dxa"/>
              <w:left w:w="80" w:type="dxa"/>
              <w:bottom w:w="60" w:type="dxa"/>
              <w:right w:w="80" w:type="dxa"/>
            </w:tcMar>
            <w:vAlign w:val="center"/>
          </w:tcPr>
          <w:p w14:paraId="39772BE1" w14:textId="77777777" w:rsidR="003737D0" w:rsidRPr="00A612A6" w:rsidRDefault="003737D0" w:rsidP="003737D0">
            <w:pPr>
              <w:rPr>
                <w:lang w:val="en-US"/>
              </w:rPr>
            </w:pPr>
            <w:r w:rsidRPr="00A612A6">
              <w:rPr>
                <w:rFonts w:ascii="Calibri" w:eastAsia="Calibri" w:hAnsi="Calibri" w:cs="Calibri"/>
                <w:color w:val="000000"/>
                <w:sz w:val="18"/>
                <w:szCs w:val="18"/>
                <w:lang w:val="en-US"/>
              </w:rPr>
              <w:t>Data pre-processing and quality checking, including across sociodemographic groups.</w:t>
            </w:r>
          </w:p>
        </w:tc>
        <w:tc>
          <w:tcPr>
            <w:tcW w:w="1000" w:type="dxa"/>
            <w:tcMar>
              <w:top w:w="60" w:type="dxa"/>
              <w:left w:w="80" w:type="dxa"/>
              <w:bottom w:w="60" w:type="dxa"/>
              <w:right w:w="80" w:type="dxa"/>
            </w:tcMar>
            <w:vAlign w:val="center"/>
          </w:tcPr>
          <w:p w14:paraId="2BDB20C5" w14:textId="6D8E9A3A" w:rsidR="003737D0" w:rsidRDefault="003737D0" w:rsidP="003737D0">
            <w:r>
              <w:rPr>
                <w:b/>
                <w:color w:val="1E7B34"/>
              </w:rPr>
              <w:t>Reported</w:t>
            </w:r>
          </w:p>
        </w:tc>
        <w:tc>
          <w:tcPr>
            <w:tcW w:w="2600" w:type="dxa"/>
            <w:tcMar>
              <w:top w:w="60" w:type="dxa"/>
              <w:left w:w="80" w:type="dxa"/>
              <w:bottom w:w="60" w:type="dxa"/>
              <w:right w:w="80" w:type="dxa"/>
            </w:tcMar>
            <w:vAlign w:val="center"/>
          </w:tcPr>
          <w:p w14:paraId="1084EABA" w14:textId="6474BF77" w:rsidR="003737D0" w:rsidRPr="00F91114" w:rsidRDefault="00F91114" w:rsidP="003737D0">
            <w:pPr>
              <w:rPr>
                <w:lang w:val="en-US"/>
              </w:rPr>
            </w:pPr>
            <w:r>
              <w:rPr>
                <w:rFonts w:ascii="Calibri" w:eastAsia="Calibri" w:hAnsi="Calibri" w:cs="Calibri"/>
                <w:color w:val="000000"/>
                <w:sz w:val="18"/>
                <w:szCs w:val="18"/>
                <w:lang w:val="en-US"/>
              </w:rPr>
              <w:t>Data preprocessing</w:t>
            </w:r>
          </w:p>
        </w:tc>
        <w:tc>
          <w:tcPr>
            <w:tcW w:w="2540" w:type="dxa"/>
            <w:tcMar>
              <w:top w:w="60" w:type="dxa"/>
              <w:left w:w="80" w:type="dxa"/>
              <w:bottom w:w="60" w:type="dxa"/>
              <w:right w:w="80" w:type="dxa"/>
            </w:tcMar>
            <w:vAlign w:val="center"/>
          </w:tcPr>
          <w:p w14:paraId="562DAE25" w14:textId="2AF006C4" w:rsidR="003737D0" w:rsidRPr="00A612A6" w:rsidRDefault="00F91114" w:rsidP="003737D0">
            <w:pPr>
              <w:rPr>
                <w:lang w:val="en-US"/>
              </w:rPr>
            </w:pPr>
            <w:r w:rsidRPr="00F91114">
              <w:rPr>
                <w:rFonts w:ascii="Calibri" w:eastAsia="Calibri" w:hAnsi="Calibri" w:cs="Calibri"/>
                <w:color w:val="007A00"/>
                <w:sz w:val="18"/>
                <w:szCs w:val="18"/>
                <w:lang w:val="en-US"/>
              </w:rPr>
              <w:t>Data preprocessing included checks for missingness, invalid/out-of-range values, and internal consistency. Fold-specific imputation and standardization were used to prevent information leakage. Data-quality patterns were not formally compared across sociodemographic groups because of the small sample size.</w:t>
            </w:r>
          </w:p>
        </w:tc>
      </w:tr>
      <w:tr w:rsidR="009A0641" w14:paraId="5B4378C3" w14:textId="77777777">
        <w:tc>
          <w:tcPr>
            <w:tcW w:w="10440" w:type="dxa"/>
            <w:gridSpan w:val="5"/>
            <w:shd w:val="clear" w:color="auto" w:fill="D9E2F3"/>
            <w:tcMar>
              <w:top w:w="60" w:type="dxa"/>
              <w:left w:w="80" w:type="dxa"/>
              <w:bottom w:w="60" w:type="dxa"/>
              <w:right w:w="80" w:type="dxa"/>
            </w:tcMar>
          </w:tcPr>
          <w:p w14:paraId="64C100AA" w14:textId="77777777" w:rsidR="009A0641" w:rsidRDefault="00000000">
            <w:r>
              <w:rPr>
                <w:rFonts w:ascii="Calibri" w:eastAsia="Calibri" w:hAnsi="Calibri" w:cs="Calibri"/>
                <w:b/>
                <w:bCs/>
                <w:sz w:val="19"/>
                <w:szCs w:val="19"/>
              </w:rPr>
              <w:t>Methods — Outcome</w:t>
            </w:r>
          </w:p>
        </w:tc>
      </w:tr>
      <w:tr w:rsidR="009A0641" w:rsidRPr="00A612A6" w14:paraId="1C03CECD" w14:textId="77777777">
        <w:tc>
          <w:tcPr>
            <w:tcW w:w="700" w:type="dxa"/>
            <w:tcMar>
              <w:top w:w="60" w:type="dxa"/>
              <w:left w:w="80" w:type="dxa"/>
              <w:bottom w:w="60" w:type="dxa"/>
              <w:right w:w="80" w:type="dxa"/>
            </w:tcMar>
            <w:vAlign w:val="center"/>
          </w:tcPr>
          <w:p w14:paraId="467CA61C" w14:textId="77777777" w:rsidR="009A0641" w:rsidRDefault="00000000">
            <w:r>
              <w:rPr>
                <w:rFonts w:ascii="Calibri" w:eastAsia="Calibri" w:hAnsi="Calibri" w:cs="Calibri"/>
                <w:b/>
                <w:bCs/>
                <w:color w:val="000000"/>
                <w:sz w:val="18"/>
                <w:szCs w:val="18"/>
              </w:rPr>
              <w:t>8a</w:t>
            </w:r>
          </w:p>
        </w:tc>
        <w:tc>
          <w:tcPr>
            <w:tcW w:w="3600" w:type="dxa"/>
            <w:tcMar>
              <w:top w:w="60" w:type="dxa"/>
              <w:left w:w="80" w:type="dxa"/>
              <w:bottom w:w="60" w:type="dxa"/>
              <w:right w:w="80" w:type="dxa"/>
            </w:tcMar>
            <w:vAlign w:val="center"/>
          </w:tcPr>
          <w:p w14:paraId="36FD4EC6" w14:textId="77777777" w:rsidR="009A0641" w:rsidRPr="00A612A6" w:rsidRDefault="00000000">
            <w:pPr>
              <w:rPr>
                <w:lang w:val="en-US"/>
              </w:rPr>
            </w:pPr>
            <w:r w:rsidRPr="00A612A6">
              <w:rPr>
                <w:rFonts w:ascii="Calibri" w:eastAsia="Calibri" w:hAnsi="Calibri" w:cs="Calibri"/>
                <w:color w:val="000000"/>
                <w:sz w:val="18"/>
                <w:szCs w:val="18"/>
                <w:lang w:val="en-US"/>
              </w:rPr>
              <w:t>Define the outcome and time horizon, including rationale and consistency of assessment.</w:t>
            </w:r>
          </w:p>
        </w:tc>
        <w:tc>
          <w:tcPr>
            <w:tcW w:w="1000" w:type="dxa"/>
            <w:tcMar>
              <w:top w:w="60" w:type="dxa"/>
              <w:left w:w="80" w:type="dxa"/>
              <w:bottom w:w="60" w:type="dxa"/>
              <w:right w:w="80" w:type="dxa"/>
            </w:tcMar>
            <w:vAlign w:val="center"/>
          </w:tcPr>
          <w:p w14:paraId="2EC3CA29"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282F64A2" w14:textId="77777777" w:rsidR="009A0641" w:rsidRPr="00A612A6" w:rsidRDefault="00000000">
            <w:pPr>
              <w:rPr>
                <w:lang w:val="en-US"/>
              </w:rPr>
            </w:pPr>
            <w:r w:rsidRPr="00A612A6">
              <w:rPr>
                <w:rFonts w:ascii="Calibri" w:eastAsia="Calibri" w:hAnsi="Calibri" w:cs="Calibri"/>
                <w:color w:val="000000"/>
                <w:sz w:val="18"/>
                <w:szCs w:val="18"/>
                <w:lang w:val="en-US"/>
              </w:rPr>
              <w:t>Predictors and outcome definition; Introduction</w:t>
            </w:r>
          </w:p>
        </w:tc>
        <w:tc>
          <w:tcPr>
            <w:tcW w:w="2540" w:type="dxa"/>
            <w:tcMar>
              <w:top w:w="60" w:type="dxa"/>
              <w:left w:w="80" w:type="dxa"/>
              <w:bottom w:w="60" w:type="dxa"/>
              <w:right w:w="80" w:type="dxa"/>
            </w:tcMar>
            <w:vAlign w:val="center"/>
          </w:tcPr>
          <w:p w14:paraId="3D34573F" w14:textId="77777777" w:rsidR="009A0641" w:rsidRPr="00A612A6" w:rsidRDefault="00000000">
            <w:pPr>
              <w:rPr>
                <w:lang w:val="en-US"/>
              </w:rPr>
            </w:pPr>
            <w:r w:rsidRPr="00A612A6">
              <w:rPr>
                <w:rFonts w:ascii="Calibri" w:eastAsia="Calibri" w:hAnsi="Calibri" w:cs="Calibri"/>
                <w:color w:val="000000"/>
                <w:sz w:val="18"/>
                <w:szCs w:val="18"/>
                <w:lang w:val="en-US"/>
              </w:rPr>
              <w:t>Consistency of assessment across sociodemographic groups not addressed.</w:t>
            </w:r>
          </w:p>
        </w:tc>
      </w:tr>
      <w:tr w:rsidR="009A0641" w:rsidRPr="00A612A6" w14:paraId="623CBBED" w14:textId="77777777">
        <w:tc>
          <w:tcPr>
            <w:tcW w:w="700" w:type="dxa"/>
            <w:tcMar>
              <w:top w:w="60" w:type="dxa"/>
              <w:left w:w="80" w:type="dxa"/>
              <w:bottom w:w="60" w:type="dxa"/>
              <w:right w:w="80" w:type="dxa"/>
            </w:tcMar>
            <w:vAlign w:val="center"/>
          </w:tcPr>
          <w:p w14:paraId="592149D1" w14:textId="77777777" w:rsidR="009A0641" w:rsidRDefault="00000000">
            <w:r>
              <w:rPr>
                <w:rFonts w:ascii="Calibri" w:eastAsia="Calibri" w:hAnsi="Calibri" w:cs="Calibri"/>
                <w:b/>
                <w:bCs/>
                <w:color w:val="000000"/>
                <w:sz w:val="18"/>
                <w:szCs w:val="18"/>
              </w:rPr>
              <w:lastRenderedPageBreak/>
              <w:t>8b</w:t>
            </w:r>
          </w:p>
        </w:tc>
        <w:tc>
          <w:tcPr>
            <w:tcW w:w="3600" w:type="dxa"/>
            <w:tcMar>
              <w:top w:w="60" w:type="dxa"/>
              <w:left w:w="80" w:type="dxa"/>
              <w:bottom w:w="60" w:type="dxa"/>
              <w:right w:w="80" w:type="dxa"/>
            </w:tcMar>
            <w:vAlign w:val="center"/>
          </w:tcPr>
          <w:p w14:paraId="6D19AB5E" w14:textId="77777777" w:rsidR="009A0641" w:rsidRPr="00A612A6" w:rsidRDefault="00000000">
            <w:pPr>
              <w:rPr>
                <w:lang w:val="en-US"/>
              </w:rPr>
            </w:pPr>
            <w:r w:rsidRPr="00A612A6">
              <w:rPr>
                <w:rFonts w:ascii="Calibri" w:eastAsia="Calibri" w:hAnsi="Calibri" w:cs="Calibri"/>
                <w:color w:val="000000"/>
                <w:sz w:val="18"/>
                <w:szCs w:val="18"/>
                <w:lang w:val="en-US"/>
              </w:rPr>
              <w:t>Qualifications/characteristics of outcome assessors if subjective.</w:t>
            </w:r>
          </w:p>
        </w:tc>
        <w:tc>
          <w:tcPr>
            <w:tcW w:w="1000" w:type="dxa"/>
            <w:tcMar>
              <w:top w:w="60" w:type="dxa"/>
              <w:left w:w="80" w:type="dxa"/>
              <w:bottom w:w="60" w:type="dxa"/>
              <w:right w:w="80" w:type="dxa"/>
            </w:tcMar>
            <w:vAlign w:val="center"/>
          </w:tcPr>
          <w:p w14:paraId="0CD02A31"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28EF42CA" w14:textId="77777777" w:rsidR="009A0641" w:rsidRDefault="00000000">
            <w:r>
              <w:rPr>
                <w:rFonts w:ascii="Calibri" w:eastAsia="Calibri" w:hAnsi="Calibri" w:cs="Calibri"/>
                <w:color w:val="0070C0"/>
                <w:sz w:val="18"/>
                <w:szCs w:val="18"/>
              </w:rPr>
              <w:t>Study design — Predictors and outcome definition</w:t>
            </w:r>
          </w:p>
        </w:tc>
        <w:tc>
          <w:tcPr>
            <w:tcW w:w="2540" w:type="dxa"/>
            <w:tcMar>
              <w:top w:w="60" w:type="dxa"/>
              <w:left w:w="80" w:type="dxa"/>
              <w:bottom w:w="60" w:type="dxa"/>
              <w:right w:w="80" w:type="dxa"/>
            </w:tcMar>
            <w:vAlign w:val="center"/>
          </w:tcPr>
          <w:p w14:paraId="7DE20091" w14:textId="56E64F06" w:rsidR="009A0641" w:rsidRPr="00A612A6" w:rsidRDefault="00F91114">
            <w:pPr>
              <w:rPr>
                <w:lang w:val="en-US"/>
              </w:rPr>
            </w:pPr>
            <w:r>
              <w:rPr>
                <w:rFonts w:ascii="Calibri" w:eastAsia="Calibri" w:hAnsi="Calibri" w:cs="Calibri"/>
                <w:color w:val="007A00"/>
                <w:sz w:val="18"/>
                <w:szCs w:val="18"/>
                <w:lang w:val="en-US"/>
              </w:rPr>
              <w:t>Pathological ypTNM staging was performed routinely after surgery as part of standard postoperative histopathological assessment; the study outcome, ypN status, was abstracted from the corresponding pathology report.</w:t>
            </w:r>
            <w:r>
              <w:rPr>
                <w:rFonts w:ascii="Calibri" w:eastAsia="Calibri" w:hAnsi="Calibri" w:cs="Calibri"/>
                <w:color w:val="0070C0"/>
                <w:sz w:val="18"/>
                <w:szCs w:val="18"/>
                <w:lang w:val="en-US"/>
              </w:rPr>
              <w:t xml:space="preserve"> Individual pathologists’ qualifications are not recorded.</w:t>
            </w:r>
          </w:p>
        </w:tc>
      </w:tr>
      <w:tr w:rsidR="00F91114" w14:paraId="0205DD4B" w14:textId="77777777">
        <w:tc>
          <w:tcPr>
            <w:tcW w:w="700" w:type="dxa"/>
            <w:tcMar>
              <w:top w:w="60" w:type="dxa"/>
              <w:left w:w="80" w:type="dxa"/>
              <w:bottom w:w="60" w:type="dxa"/>
              <w:right w:w="80" w:type="dxa"/>
            </w:tcMar>
            <w:vAlign w:val="center"/>
          </w:tcPr>
          <w:p w14:paraId="4F0259AD" w14:textId="77777777" w:rsidR="00F91114" w:rsidRDefault="00F91114" w:rsidP="00F91114">
            <w:r>
              <w:rPr>
                <w:rFonts w:ascii="Calibri" w:eastAsia="Calibri" w:hAnsi="Calibri" w:cs="Calibri"/>
                <w:b/>
                <w:bCs/>
                <w:color w:val="000000"/>
                <w:sz w:val="18"/>
                <w:szCs w:val="18"/>
              </w:rPr>
              <w:t>8c</w:t>
            </w:r>
          </w:p>
        </w:tc>
        <w:tc>
          <w:tcPr>
            <w:tcW w:w="3600" w:type="dxa"/>
            <w:tcMar>
              <w:top w:w="60" w:type="dxa"/>
              <w:left w:w="80" w:type="dxa"/>
              <w:bottom w:w="60" w:type="dxa"/>
              <w:right w:w="80" w:type="dxa"/>
            </w:tcMar>
            <w:vAlign w:val="center"/>
          </w:tcPr>
          <w:p w14:paraId="28370EE0" w14:textId="77777777" w:rsidR="00F91114" w:rsidRPr="00A612A6" w:rsidRDefault="00F91114" w:rsidP="00F91114">
            <w:pPr>
              <w:rPr>
                <w:lang w:val="en-US"/>
              </w:rPr>
            </w:pPr>
            <w:r w:rsidRPr="00A612A6">
              <w:rPr>
                <w:rFonts w:ascii="Calibri" w:eastAsia="Calibri" w:hAnsi="Calibri" w:cs="Calibri"/>
                <w:color w:val="000000"/>
                <w:sz w:val="18"/>
                <w:szCs w:val="18"/>
                <w:lang w:val="en-US"/>
              </w:rPr>
              <w:t>Actions to blind outcome assessment.</w:t>
            </w:r>
          </w:p>
        </w:tc>
        <w:tc>
          <w:tcPr>
            <w:tcW w:w="1000" w:type="dxa"/>
            <w:tcMar>
              <w:top w:w="60" w:type="dxa"/>
              <w:left w:w="80" w:type="dxa"/>
              <w:bottom w:w="60" w:type="dxa"/>
              <w:right w:w="80" w:type="dxa"/>
            </w:tcMar>
            <w:vAlign w:val="center"/>
          </w:tcPr>
          <w:p w14:paraId="634276B9" w14:textId="55A94204" w:rsidR="00F91114" w:rsidRDefault="00F91114" w:rsidP="00F91114">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07D17EC3" w14:textId="410584F5" w:rsidR="00F91114" w:rsidRPr="008E3EF8" w:rsidRDefault="00F91114" w:rsidP="00F91114">
            <w:pPr>
              <w:rPr>
                <w:lang w:val="ru-RU"/>
              </w:rPr>
            </w:pPr>
            <w:r>
              <w:rPr>
                <w:lang w:val="en-US"/>
              </w:rPr>
              <w:t>Methods</w:t>
            </w:r>
          </w:p>
        </w:tc>
        <w:tc>
          <w:tcPr>
            <w:tcW w:w="2540" w:type="dxa"/>
            <w:tcMar>
              <w:top w:w="60" w:type="dxa"/>
              <w:left w:w="80" w:type="dxa"/>
              <w:bottom w:w="60" w:type="dxa"/>
              <w:right w:w="80" w:type="dxa"/>
            </w:tcMar>
            <w:vAlign w:val="center"/>
          </w:tcPr>
          <w:p w14:paraId="0AF8B35E" w14:textId="2DE3D4F4" w:rsidR="00F91114" w:rsidRPr="00F91114" w:rsidRDefault="00F91114" w:rsidP="00F91114">
            <w:pPr>
              <w:rPr>
                <w:color w:val="7030A0"/>
              </w:rPr>
            </w:pPr>
            <w:r w:rsidRPr="00F91114">
              <w:rPr>
                <w:color w:val="007A00"/>
              </w:rPr>
              <w:t>Outcome assessment preceded model development, so assessors were unaware of model predictions; formal blinding to individual predictor values was not documented.</w:t>
            </w:r>
          </w:p>
        </w:tc>
      </w:tr>
      <w:tr w:rsidR="009A0641" w14:paraId="4B476206" w14:textId="77777777">
        <w:tc>
          <w:tcPr>
            <w:tcW w:w="10440" w:type="dxa"/>
            <w:gridSpan w:val="5"/>
            <w:shd w:val="clear" w:color="auto" w:fill="D9E2F3"/>
            <w:tcMar>
              <w:top w:w="60" w:type="dxa"/>
              <w:left w:w="80" w:type="dxa"/>
              <w:bottom w:w="60" w:type="dxa"/>
              <w:right w:w="80" w:type="dxa"/>
            </w:tcMar>
          </w:tcPr>
          <w:p w14:paraId="360725F1" w14:textId="77777777" w:rsidR="009A0641" w:rsidRDefault="00000000">
            <w:r>
              <w:rPr>
                <w:rFonts w:ascii="Calibri" w:eastAsia="Calibri" w:hAnsi="Calibri" w:cs="Calibri"/>
                <w:b/>
                <w:bCs/>
                <w:sz w:val="19"/>
                <w:szCs w:val="19"/>
              </w:rPr>
              <w:t>Methods — Predictors</w:t>
            </w:r>
          </w:p>
        </w:tc>
      </w:tr>
      <w:tr w:rsidR="009A0641" w:rsidRPr="00A612A6" w14:paraId="6B52C907" w14:textId="77777777">
        <w:tc>
          <w:tcPr>
            <w:tcW w:w="700" w:type="dxa"/>
            <w:tcMar>
              <w:top w:w="60" w:type="dxa"/>
              <w:left w:w="80" w:type="dxa"/>
              <w:bottom w:w="60" w:type="dxa"/>
              <w:right w:w="80" w:type="dxa"/>
            </w:tcMar>
            <w:vAlign w:val="center"/>
          </w:tcPr>
          <w:p w14:paraId="0C885800" w14:textId="77777777" w:rsidR="009A0641" w:rsidRDefault="00000000">
            <w:r>
              <w:rPr>
                <w:rFonts w:ascii="Calibri" w:eastAsia="Calibri" w:hAnsi="Calibri" w:cs="Calibri"/>
                <w:b/>
                <w:bCs/>
                <w:color w:val="000000"/>
                <w:sz w:val="18"/>
                <w:szCs w:val="18"/>
              </w:rPr>
              <w:t>9a</w:t>
            </w:r>
          </w:p>
        </w:tc>
        <w:tc>
          <w:tcPr>
            <w:tcW w:w="3600" w:type="dxa"/>
            <w:tcMar>
              <w:top w:w="60" w:type="dxa"/>
              <w:left w:w="80" w:type="dxa"/>
              <w:bottom w:w="60" w:type="dxa"/>
              <w:right w:w="80" w:type="dxa"/>
            </w:tcMar>
            <w:vAlign w:val="center"/>
          </w:tcPr>
          <w:p w14:paraId="65A4A6FA" w14:textId="77777777" w:rsidR="009A0641" w:rsidRPr="00A612A6" w:rsidRDefault="00000000">
            <w:pPr>
              <w:rPr>
                <w:lang w:val="en-US"/>
              </w:rPr>
            </w:pPr>
            <w:r w:rsidRPr="00A612A6">
              <w:rPr>
                <w:rFonts w:ascii="Calibri" w:eastAsia="Calibri" w:hAnsi="Calibri" w:cs="Calibri"/>
                <w:color w:val="000000"/>
                <w:sz w:val="18"/>
                <w:szCs w:val="18"/>
                <w:lang w:val="en-US"/>
              </w:rPr>
              <w:t>Choice of initial predictors and any pre-selection.</w:t>
            </w:r>
          </w:p>
        </w:tc>
        <w:tc>
          <w:tcPr>
            <w:tcW w:w="1000" w:type="dxa"/>
            <w:tcMar>
              <w:top w:w="60" w:type="dxa"/>
              <w:left w:w="80" w:type="dxa"/>
              <w:bottom w:w="60" w:type="dxa"/>
              <w:right w:w="80" w:type="dxa"/>
            </w:tcMar>
            <w:vAlign w:val="center"/>
          </w:tcPr>
          <w:p w14:paraId="78A6C0C0"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303D7039" w14:textId="77777777" w:rsidR="009A0641" w:rsidRDefault="00000000">
            <w:r>
              <w:rPr>
                <w:rFonts w:ascii="Calibri" w:eastAsia="Calibri" w:hAnsi="Calibri" w:cs="Calibri"/>
                <w:color w:val="000000"/>
                <w:sz w:val="18"/>
                <w:szCs w:val="18"/>
              </w:rPr>
              <w:t>Feature selection</w:t>
            </w:r>
          </w:p>
        </w:tc>
        <w:tc>
          <w:tcPr>
            <w:tcW w:w="2540" w:type="dxa"/>
            <w:tcMar>
              <w:top w:w="60" w:type="dxa"/>
              <w:left w:w="80" w:type="dxa"/>
              <w:bottom w:w="60" w:type="dxa"/>
              <w:right w:w="80" w:type="dxa"/>
            </w:tcMar>
            <w:vAlign w:val="center"/>
          </w:tcPr>
          <w:p w14:paraId="400718E4" w14:textId="77777777" w:rsidR="009A0641" w:rsidRPr="00A612A6" w:rsidRDefault="00000000">
            <w:pPr>
              <w:rPr>
                <w:lang w:val="en-US"/>
              </w:rPr>
            </w:pPr>
            <w:r w:rsidRPr="00A612A6">
              <w:rPr>
                <w:rFonts w:ascii="Calibri" w:eastAsia="Calibri" w:hAnsi="Calibri" w:cs="Calibri"/>
                <w:color w:val="000000"/>
                <w:sz w:val="18"/>
                <w:szCs w:val="18"/>
                <w:lang w:val="en-US"/>
              </w:rPr>
              <w:t>Two clinically defined panels compared; no univariate/LASSO screening.</w:t>
            </w:r>
          </w:p>
        </w:tc>
      </w:tr>
      <w:tr w:rsidR="009A0641" w:rsidRPr="00A612A6" w14:paraId="040A15CE" w14:textId="77777777">
        <w:tc>
          <w:tcPr>
            <w:tcW w:w="700" w:type="dxa"/>
            <w:tcMar>
              <w:top w:w="60" w:type="dxa"/>
              <w:left w:w="80" w:type="dxa"/>
              <w:bottom w:w="60" w:type="dxa"/>
              <w:right w:w="80" w:type="dxa"/>
            </w:tcMar>
            <w:vAlign w:val="center"/>
          </w:tcPr>
          <w:p w14:paraId="61F70874" w14:textId="77777777" w:rsidR="009A0641" w:rsidRDefault="00000000">
            <w:r>
              <w:rPr>
                <w:rFonts w:ascii="Calibri" w:eastAsia="Calibri" w:hAnsi="Calibri" w:cs="Calibri"/>
                <w:b/>
                <w:bCs/>
                <w:color w:val="000000"/>
                <w:sz w:val="18"/>
                <w:szCs w:val="18"/>
              </w:rPr>
              <w:t>9b</w:t>
            </w:r>
          </w:p>
        </w:tc>
        <w:tc>
          <w:tcPr>
            <w:tcW w:w="3600" w:type="dxa"/>
            <w:tcMar>
              <w:top w:w="60" w:type="dxa"/>
              <w:left w:w="80" w:type="dxa"/>
              <w:bottom w:w="60" w:type="dxa"/>
              <w:right w:w="80" w:type="dxa"/>
            </w:tcMar>
            <w:vAlign w:val="center"/>
          </w:tcPr>
          <w:p w14:paraId="5D0C2E2B" w14:textId="77777777" w:rsidR="009A0641" w:rsidRPr="00A612A6" w:rsidRDefault="00000000">
            <w:pPr>
              <w:rPr>
                <w:lang w:val="en-US"/>
              </w:rPr>
            </w:pPr>
            <w:r w:rsidRPr="00A612A6">
              <w:rPr>
                <w:rFonts w:ascii="Calibri" w:eastAsia="Calibri" w:hAnsi="Calibri" w:cs="Calibri"/>
                <w:color w:val="000000"/>
                <w:sz w:val="18"/>
                <w:szCs w:val="18"/>
                <w:lang w:val="en-US"/>
              </w:rPr>
              <w:t>Define all predictors, including how/when measured.</w:t>
            </w:r>
          </w:p>
        </w:tc>
        <w:tc>
          <w:tcPr>
            <w:tcW w:w="1000" w:type="dxa"/>
            <w:tcMar>
              <w:top w:w="60" w:type="dxa"/>
              <w:left w:w="80" w:type="dxa"/>
              <w:bottom w:w="60" w:type="dxa"/>
              <w:right w:w="80" w:type="dxa"/>
            </w:tcMar>
            <w:vAlign w:val="center"/>
          </w:tcPr>
          <w:p w14:paraId="37541445" w14:textId="77777777" w:rsidR="009A0641" w:rsidRDefault="00000000">
            <w:r>
              <w:rPr>
                <w:b/>
                <w:color w:val="1E7B34"/>
              </w:rPr>
              <w:t>Reported</w:t>
            </w:r>
          </w:p>
        </w:tc>
        <w:tc>
          <w:tcPr>
            <w:tcW w:w="2600" w:type="dxa"/>
            <w:tcMar>
              <w:top w:w="60" w:type="dxa"/>
              <w:left w:w="80" w:type="dxa"/>
              <w:bottom w:w="60" w:type="dxa"/>
              <w:right w:w="80" w:type="dxa"/>
            </w:tcMar>
            <w:vAlign w:val="center"/>
          </w:tcPr>
          <w:p w14:paraId="2F9A5D14" w14:textId="77777777" w:rsidR="009A0641" w:rsidRDefault="00000000">
            <w:r>
              <w:rPr>
                <w:rFonts w:ascii="Calibri" w:eastAsia="Calibri" w:hAnsi="Calibri" w:cs="Calibri"/>
                <w:color w:val="000000"/>
                <w:sz w:val="18"/>
                <w:szCs w:val="18"/>
              </w:rPr>
              <w:t>Predictors and outcome definition; Supplementary Methods S1</w:t>
            </w:r>
          </w:p>
        </w:tc>
        <w:tc>
          <w:tcPr>
            <w:tcW w:w="2540" w:type="dxa"/>
            <w:tcMar>
              <w:top w:w="60" w:type="dxa"/>
              <w:left w:w="80" w:type="dxa"/>
              <w:bottom w:w="60" w:type="dxa"/>
              <w:right w:w="80" w:type="dxa"/>
            </w:tcMar>
            <w:vAlign w:val="center"/>
          </w:tcPr>
          <w:p w14:paraId="4FF1A314" w14:textId="77777777" w:rsidR="009A0641" w:rsidRPr="00A612A6" w:rsidRDefault="00000000">
            <w:pPr>
              <w:rPr>
                <w:lang w:val="en-US"/>
              </w:rPr>
            </w:pPr>
            <w:r w:rsidRPr="00A612A6">
              <w:rPr>
                <w:lang w:val="en-US"/>
              </w:rPr>
              <w:t xml:space="preserve">“Preoperative” is defined once, as recorded before radical surgery and before postoperative pathological assessment. The dataset does not establish whether WBC and platelet count were measured before the start of neoadjuvant treatment (a “drawn after dexamethasone” flag exists for 8/62 patients only), so no predictor is described as “pretreatment” or “baseline” (Reviewer 1, Comment 3; Reviewer 2, Round 2, Comment 2). Ordinal coding of cT (1–3 for cT2–cT4), cN (0–3), and grade (1–4), the linear-spacing assumption, and the standardization are described in Supplementary Methods S1, with the categorical </w:t>
            </w:r>
            <w:r w:rsidRPr="00A612A6">
              <w:rPr>
                <w:lang w:val="en-US"/>
              </w:rPr>
              <w:lastRenderedPageBreak/>
              <w:t>(dummy-coded) sensitivity analysis.</w:t>
            </w:r>
          </w:p>
        </w:tc>
      </w:tr>
      <w:tr w:rsidR="009A0641" w:rsidRPr="00A612A6" w14:paraId="2A14969F" w14:textId="77777777">
        <w:tc>
          <w:tcPr>
            <w:tcW w:w="700" w:type="dxa"/>
            <w:tcMar>
              <w:top w:w="60" w:type="dxa"/>
              <w:left w:w="80" w:type="dxa"/>
              <w:bottom w:w="60" w:type="dxa"/>
              <w:right w:w="80" w:type="dxa"/>
            </w:tcMar>
            <w:vAlign w:val="center"/>
          </w:tcPr>
          <w:p w14:paraId="11F323A8" w14:textId="77777777" w:rsidR="009A0641" w:rsidRDefault="00000000">
            <w:r>
              <w:rPr>
                <w:rFonts w:ascii="Calibri" w:eastAsia="Calibri" w:hAnsi="Calibri" w:cs="Calibri"/>
                <w:b/>
                <w:bCs/>
                <w:color w:val="000000"/>
                <w:sz w:val="18"/>
                <w:szCs w:val="18"/>
              </w:rPr>
              <w:lastRenderedPageBreak/>
              <w:t>9c</w:t>
            </w:r>
          </w:p>
        </w:tc>
        <w:tc>
          <w:tcPr>
            <w:tcW w:w="3600" w:type="dxa"/>
            <w:tcMar>
              <w:top w:w="60" w:type="dxa"/>
              <w:left w:w="80" w:type="dxa"/>
              <w:bottom w:w="60" w:type="dxa"/>
              <w:right w:w="80" w:type="dxa"/>
            </w:tcMar>
            <w:vAlign w:val="center"/>
          </w:tcPr>
          <w:p w14:paraId="37AB90C4" w14:textId="77777777" w:rsidR="009A0641" w:rsidRPr="00A612A6" w:rsidRDefault="00000000">
            <w:pPr>
              <w:rPr>
                <w:lang w:val="en-US"/>
              </w:rPr>
            </w:pPr>
            <w:r w:rsidRPr="00A612A6">
              <w:rPr>
                <w:rFonts w:ascii="Calibri" w:eastAsia="Calibri" w:hAnsi="Calibri" w:cs="Calibri"/>
                <w:color w:val="000000"/>
                <w:sz w:val="18"/>
                <w:szCs w:val="18"/>
                <w:lang w:val="en-US"/>
              </w:rPr>
              <w:t>Qualifications/characteristics of predictor assessors if subjective.</w:t>
            </w:r>
          </w:p>
        </w:tc>
        <w:tc>
          <w:tcPr>
            <w:tcW w:w="1000" w:type="dxa"/>
            <w:tcMar>
              <w:top w:w="60" w:type="dxa"/>
              <w:left w:w="80" w:type="dxa"/>
              <w:bottom w:w="60" w:type="dxa"/>
              <w:right w:w="80" w:type="dxa"/>
            </w:tcMar>
            <w:vAlign w:val="center"/>
          </w:tcPr>
          <w:p w14:paraId="4BDD738A" w14:textId="77777777" w:rsidR="009A0641" w:rsidRDefault="00000000">
            <w:r>
              <w:rPr>
                <w:rFonts w:ascii="Calibri" w:eastAsia="Calibri" w:hAnsi="Calibri" w:cs="Calibri"/>
                <w:b/>
                <w:bCs/>
                <w:color w:val="C00000"/>
                <w:sz w:val="18"/>
                <w:szCs w:val="18"/>
              </w:rPr>
              <w:t>Not reported</w:t>
            </w:r>
          </w:p>
        </w:tc>
        <w:tc>
          <w:tcPr>
            <w:tcW w:w="2600" w:type="dxa"/>
            <w:tcMar>
              <w:top w:w="60" w:type="dxa"/>
              <w:left w:w="80" w:type="dxa"/>
              <w:bottom w:w="60" w:type="dxa"/>
              <w:right w:w="80" w:type="dxa"/>
            </w:tcMar>
            <w:vAlign w:val="center"/>
          </w:tcPr>
          <w:p w14:paraId="09A641CA"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4A368EE4" w14:textId="77777777" w:rsidR="009A0641" w:rsidRPr="00A612A6" w:rsidRDefault="00000000">
            <w:pPr>
              <w:rPr>
                <w:lang w:val="en-US"/>
              </w:rPr>
            </w:pPr>
            <w:r w:rsidRPr="00A612A6">
              <w:rPr>
                <w:rFonts w:ascii="Calibri" w:eastAsia="Calibri" w:hAnsi="Calibri" w:cs="Calibri"/>
                <w:color w:val="000000"/>
                <w:sz w:val="18"/>
                <w:szCs w:val="18"/>
                <w:lang w:val="en-US"/>
              </w:rPr>
              <w:t>cT/cN staging can involve clinician judgment; assessor details not described.</w:t>
            </w:r>
          </w:p>
        </w:tc>
      </w:tr>
      <w:tr w:rsidR="009A0641" w14:paraId="0FECE60B" w14:textId="77777777">
        <w:tc>
          <w:tcPr>
            <w:tcW w:w="10440" w:type="dxa"/>
            <w:gridSpan w:val="5"/>
            <w:shd w:val="clear" w:color="auto" w:fill="D9E2F3"/>
            <w:tcMar>
              <w:top w:w="60" w:type="dxa"/>
              <w:left w:w="80" w:type="dxa"/>
              <w:bottom w:w="60" w:type="dxa"/>
              <w:right w:w="80" w:type="dxa"/>
            </w:tcMar>
          </w:tcPr>
          <w:p w14:paraId="72E32AC6" w14:textId="77777777" w:rsidR="009A0641" w:rsidRDefault="00000000">
            <w:r>
              <w:rPr>
                <w:rFonts w:ascii="Calibri" w:eastAsia="Calibri" w:hAnsi="Calibri" w:cs="Calibri"/>
                <w:b/>
                <w:bCs/>
                <w:sz w:val="19"/>
                <w:szCs w:val="19"/>
              </w:rPr>
              <w:t>Methods — Sample Size</w:t>
            </w:r>
          </w:p>
        </w:tc>
      </w:tr>
      <w:tr w:rsidR="009A0641" w:rsidRPr="00A612A6" w14:paraId="66C11BCA" w14:textId="77777777">
        <w:tc>
          <w:tcPr>
            <w:tcW w:w="700" w:type="dxa"/>
            <w:tcMar>
              <w:top w:w="60" w:type="dxa"/>
              <w:left w:w="80" w:type="dxa"/>
              <w:bottom w:w="60" w:type="dxa"/>
              <w:right w:w="80" w:type="dxa"/>
            </w:tcMar>
            <w:vAlign w:val="center"/>
          </w:tcPr>
          <w:p w14:paraId="0E41EE12" w14:textId="77777777" w:rsidR="009A0641" w:rsidRDefault="00000000">
            <w:r>
              <w:rPr>
                <w:rFonts w:ascii="Calibri" w:eastAsia="Calibri" w:hAnsi="Calibri" w:cs="Calibri"/>
                <w:b/>
                <w:bCs/>
                <w:color w:val="000000"/>
                <w:sz w:val="18"/>
                <w:szCs w:val="18"/>
              </w:rPr>
              <w:t>10</w:t>
            </w:r>
          </w:p>
        </w:tc>
        <w:tc>
          <w:tcPr>
            <w:tcW w:w="3600" w:type="dxa"/>
            <w:tcMar>
              <w:top w:w="60" w:type="dxa"/>
              <w:left w:w="80" w:type="dxa"/>
              <w:bottom w:w="60" w:type="dxa"/>
              <w:right w:w="80" w:type="dxa"/>
            </w:tcMar>
            <w:vAlign w:val="center"/>
          </w:tcPr>
          <w:p w14:paraId="1256D340" w14:textId="77777777" w:rsidR="009A0641" w:rsidRPr="00A612A6" w:rsidRDefault="00000000">
            <w:pPr>
              <w:rPr>
                <w:lang w:val="en-US"/>
              </w:rPr>
            </w:pPr>
            <w:r w:rsidRPr="00A612A6">
              <w:rPr>
                <w:rFonts w:ascii="Calibri" w:eastAsia="Calibri" w:hAnsi="Calibri" w:cs="Calibri"/>
                <w:color w:val="000000"/>
                <w:sz w:val="18"/>
                <w:szCs w:val="18"/>
                <w:lang w:val="en-US"/>
              </w:rPr>
              <w:t>Explain how study size was arrived at; justify sufficiency; sample size calculation.</w:t>
            </w:r>
          </w:p>
        </w:tc>
        <w:tc>
          <w:tcPr>
            <w:tcW w:w="1000" w:type="dxa"/>
            <w:tcMar>
              <w:top w:w="60" w:type="dxa"/>
              <w:left w:w="80" w:type="dxa"/>
              <w:bottom w:w="60" w:type="dxa"/>
              <w:right w:w="80" w:type="dxa"/>
            </w:tcMar>
            <w:vAlign w:val="center"/>
          </w:tcPr>
          <w:p w14:paraId="27F30642" w14:textId="77777777" w:rsidR="009A0641" w:rsidRDefault="00000000">
            <w:r>
              <w:rPr>
                <w:b/>
                <w:color w:val="1E7B34"/>
              </w:rPr>
              <w:t>Partially reported</w:t>
            </w:r>
          </w:p>
        </w:tc>
        <w:tc>
          <w:tcPr>
            <w:tcW w:w="2600" w:type="dxa"/>
            <w:tcMar>
              <w:top w:w="60" w:type="dxa"/>
              <w:left w:w="80" w:type="dxa"/>
              <w:bottom w:w="60" w:type="dxa"/>
              <w:right w:w="80" w:type="dxa"/>
            </w:tcMar>
            <w:vAlign w:val="center"/>
          </w:tcPr>
          <w:p w14:paraId="3143DACF"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132DFFF5" w14:textId="77777777" w:rsidR="009A0641" w:rsidRPr="00A612A6" w:rsidRDefault="00000000">
            <w:pPr>
              <w:rPr>
                <w:lang w:val="en-US"/>
              </w:rPr>
            </w:pPr>
            <w:r>
              <w:rPr>
                <w:color w:val="0070C0"/>
                <w:lang w:val="en-US"/>
              </w:rPr>
              <w:t>No formal a priori sample-size calculation was performed (this is a retrospective pilot using all available patients). This is stated here and in the response letter, not in the blinded manuscript; the achieved precision is contextualized via bootstrap CIs and the baseline/sensitivity comparisons (Reviewer 3, Comment 2), and the manuscript phrases the point estimates as an exploratory signal given the wide intervals (Reviewer 2, Comment 7).</w:t>
            </w:r>
          </w:p>
        </w:tc>
      </w:tr>
      <w:tr w:rsidR="009A0641" w14:paraId="46A9F291" w14:textId="77777777">
        <w:tc>
          <w:tcPr>
            <w:tcW w:w="10440" w:type="dxa"/>
            <w:gridSpan w:val="5"/>
            <w:shd w:val="clear" w:color="auto" w:fill="D9E2F3"/>
            <w:tcMar>
              <w:top w:w="60" w:type="dxa"/>
              <w:left w:w="80" w:type="dxa"/>
              <w:bottom w:w="60" w:type="dxa"/>
              <w:right w:w="80" w:type="dxa"/>
            </w:tcMar>
          </w:tcPr>
          <w:p w14:paraId="195400A8" w14:textId="77777777" w:rsidR="009A0641" w:rsidRDefault="00000000">
            <w:r>
              <w:rPr>
                <w:rFonts w:ascii="Calibri" w:eastAsia="Calibri" w:hAnsi="Calibri" w:cs="Calibri"/>
                <w:b/>
                <w:bCs/>
                <w:sz w:val="19"/>
                <w:szCs w:val="19"/>
              </w:rPr>
              <w:t>Methods — Missing Data</w:t>
            </w:r>
          </w:p>
        </w:tc>
      </w:tr>
      <w:tr w:rsidR="009A0641" w:rsidRPr="00A612A6" w14:paraId="521EF86B" w14:textId="77777777">
        <w:tc>
          <w:tcPr>
            <w:tcW w:w="700" w:type="dxa"/>
            <w:tcMar>
              <w:top w:w="60" w:type="dxa"/>
              <w:left w:w="80" w:type="dxa"/>
              <w:bottom w:w="60" w:type="dxa"/>
              <w:right w:w="80" w:type="dxa"/>
            </w:tcMar>
            <w:vAlign w:val="center"/>
          </w:tcPr>
          <w:p w14:paraId="00CB6DBC" w14:textId="77777777" w:rsidR="009A0641" w:rsidRDefault="00000000">
            <w:r>
              <w:rPr>
                <w:rFonts w:ascii="Calibri" w:eastAsia="Calibri" w:hAnsi="Calibri" w:cs="Calibri"/>
                <w:b/>
                <w:bCs/>
                <w:color w:val="000000"/>
                <w:sz w:val="18"/>
                <w:szCs w:val="18"/>
              </w:rPr>
              <w:t>11</w:t>
            </w:r>
          </w:p>
        </w:tc>
        <w:tc>
          <w:tcPr>
            <w:tcW w:w="3600" w:type="dxa"/>
            <w:tcMar>
              <w:top w:w="60" w:type="dxa"/>
              <w:left w:w="80" w:type="dxa"/>
              <w:bottom w:w="60" w:type="dxa"/>
              <w:right w:w="80" w:type="dxa"/>
            </w:tcMar>
            <w:vAlign w:val="center"/>
          </w:tcPr>
          <w:p w14:paraId="173D7C99" w14:textId="77777777" w:rsidR="009A0641" w:rsidRPr="00A612A6" w:rsidRDefault="00000000">
            <w:pPr>
              <w:rPr>
                <w:lang w:val="en-US"/>
              </w:rPr>
            </w:pPr>
            <w:r w:rsidRPr="00A612A6">
              <w:rPr>
                <w:rFonts w:ascii="Calibri" w:eastAsia="Calibri" w:hAnsi="Calibri" w:cs="Calibri"/>
                <w:color w:val="000000"/>
                <w:sz w:val="18"/>
                <w:szCs w:val="18"/>
                <w:lang w:val="en-US"/>
              </w:rPr>
              <w:t>Describe how missing data were handled; reasons for omitting data.</w:t>
            </w:r>
          </w:p>
        </w:tc>
        <w:tc>
          <w:tcPr>
            <w:tcW w:w="1000" w:type="dxa"/>
            <w:tcMar>
              <w:top w:w="60" w:type="dxa"/>
              <w:left w:w="80" w:type="dxa"/>
              <w:bottom w:w="60" w:type="dxa"/>
              <w:right w:w="80" w:type="dxa"/>
            </w:tcMar>
            <w:vAlign w:val="center"/>
          </w:tcPr>
          <w:p w14:paraId="2CE1AF02"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6903B242" w14:textId="77777777" w:rsidR="009A0641" w:rsidRPr="00A612A6" w:rsidRDefault="00000000">
            <w:pPr>
              <w:rPr>
                <w:lang w:val="en-US"/>
              </w:rPr>
            </w:pPr>
            <w:r w:rsidRPr="00A612A6">
              <w:rPr>
                <w:rFonts w:ascii="Calibri" w:eastAsia="Calibri" w:hAnsi="Calibri" w:cs="Calibri"/>
                <w:color w:val="000000"/>
                <w:sz w:val="18"/>
                <w:szCs w:val="18"/>
                <w:lang w:val="en-US"/>
              </w:rPr>
              <w:t>Data preprocessing; Study design and participants</w:t>
            </w:r>
          </w:p>
        </w:tc>
        <w:tc>
          <w:tcPr>
            <w:tcW w:w="2540" w:type="dxa"/>
            <w:tcMar>
              <w:top w:w="60" w:type="dxa"/>
              <w:left w:w="80" w:type="dxa"/>
              <w:bottom w:w="60" w:type="dxa"/>
              <w:right w:w="80" w:type="dxa"/>
            </w:tcMar>
            <w:vAlign w:val="center"/>
          </w:tcPr>
          <w:p w14:paraId="4DDA7DF5" w14:textId="77777777" w:rsidR="009A0641" w:rsidRPr="00A612A6" w:rsidRDefault="00000000">
            <w:pPr>
              <w:rPr>
                <w:lang w:val="en-US"/>
              </w:rPr>
            </w:pPr>
            <w:r w:rsidRPr="00A612A6">
              <w:rPr>
                <w:lang w:val="en-US"/>
              </w:rPr>
              <w:t>Grade imputation described; specific reasons for each of the 15 outcome-missing patients, and the cN3-imbalance explanation, are now reported in Study design and participants and Table 1.</w:t>
            </w:r>
            <w:r>
              <w:rPr>
                <w:color w:val="0070C0"/>
                <w:lang w:val="en-US"/>
              </w:rPr>
              <w:t xml:space="preserve"> For the 4 patients with gastrectomy but no recorded ypN, the reason could not be established from the available records. Table 1 now includes a p-value column comparing known and unknown ypN (Fisher / Fisher–Freeman–Halton </w:t>
            </w:r>
            <w:r>
              <w:rPr>
                <w:color w:val="0070C0"/>
                <w:lang w:val="en-US"/>
              </w:rPr>
              <w:lastRenderedPageBreak/>
              <w:t>exact tests for categorical variables; Mann–Whitney U for continuous variables; platelet count p = 0.024, clinical N stage p = 0.017, all others p &gt; 0.4) (Reviewer 2, Comment 11).</w:t>
            </w:r>
          </w:p>
        </w:tc>
      </w:tr>
      <w:tr w:rsidR="009A0641" w14:paraId="1F89538C" w14:textId="77777777">
        <w:tc>
          <w:tcPr>
            <w:tcW w:w="10440" w:type="dxa"/>
            <w:gridSpan w:val="5"/>
            <w:shd w:val="clear" w:color="auto" w:fill="D9E2F3"/>
            <w:tcMar>
              <w:top w:w="60" w:type="dxa"/>
              <w:left w:w="80" w:type="dxa"/>
              <w:bottom w:w="60" w:type="dxa"/>
              <w:right w:w="80" w:type="dxa"/>
            </w:tcMar>
          </w:tcPr>
          <w:p w14:paraId="092D079A" w14:textId="77777777" w:rsidR="009A0641" w:rsidRDefault="00000000">
            <w:r>
              <w:rPr>
                <w:rFonts w:ascii="Calibri" w:eastAsia="Calibri" w:hAnsi="Calibri" w:cs="Calibri"/>
                <w:b/>
                <w:bCs/>
                <w:sz w:val="19"/>
                <w:szCs w:val="19"/>
              </w:rPr>
              <w:lastRenderedPageBreak/>
              <w:t>Methods — Analytical Methods</w:t>
            </w:r>
          </w:p>
        </w:tc>
      </w:tr>
      <w:tr w:rsidR="009A0641" w:rsidRPr="00A612A6" w14:paraId="6B8CD6D9" w14:textId="77777777">
        <w:tc>
          <w:tcPr>
            <w:tcW w:w="700" w:type="dxa"/>
            <w:tcMar>
              <w:top w:w="60" w:type="dxa"/>
              <w:left w:w="80" w:type="dxa"/>
              <w:bottom w:w="60" w:type="dxa"/>
              <w:right w:w="80" w:type="dxa"/>
            </w:tcMar>
            <w:vAlign w:val="center"/>
          </w:tcPr>
          <w:p w14:paraId="7256E8F7" w14:textId="77777777" w:rsidR="009A0641" w:rsidRDefault="00000000">
            <w:r>
              <w:rPr>
                <w:rFonts w:ascii="Calibri" w:eastAsia="Calibri" w:hAnsi="Calibri" w:cs="Calibri"/>
                <w:b/>
                <w:bCs/>
                <w:color w:val="000000"/>
                <w:sz w:val="18"/>
                <w:szCs w:val="18"/>
              </w:rPr>
              <w:t>12a</w:t>
            </w:r>
          </w:p>
        </w:tc>
        <w:tc>
          <w:tcPr>
            <w:tcW w:w="3600" w:type="dxa"/>
            <w:tcMar>
              <w:top w:w="60" w:type="dxa"/>
              <w:left w:w="80" w:type="dxa"/>
              <w:bottom w:w="60" w:type="dxa"/>
              <w:right w:w="80" w:type="dxa"/>
            </w:tcMar>
            <w:vAlign w:val="center"/>
          </w:tcPr>
          <w:p w14:paraId="0B343409" w14:textId="77777777" w:rsidR="009A0641" w:rsidRPr="00A612A6" w:rsidRDefault="00000000">
            <w:pPr>
              <w:rPr>
                <w:lang w:val="en-US"/>
              </w:rPr>
            </w:pPr>
            <w:r w:rsidRPr="00A612A6">
              <w:rPr>
                <w:rFonts w:ascii="Calibri" w:eastAsia="Calibri" w:hAnsi="Calibri" w:cs="Calibri"/>
                <w:color w:val="000000"/>
                <w:sz w:val="18"/>
                <w:szCs w:val="18"/>
                <w:lang w:val="en-US"/>
              </w:rPr>
              <w:t>How data were used/partitioned, considering sample size.</w:t>
            </w:r>
          </w:p>
        </w:tc>
        <w:tc>
          <w:tcPr>
            <w:tcW w:w="1000" w:type="dxa"/>
            <w:tcMar>
              <w:top w:w="60" w:type="dxa"/>
              <w:left w:w="80" w:type="dxa"/>
              <w:bottom w:w="60" w:type="dxa"/>
              <w:right w:w="80" w:type="dxa"/>
            </w:tcMar>
            <w:vAlign w:val="center"/>
          </w:tcPr>
          <w:p w14:paraId="6CBCEAC0"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2686AB68" w14:textId="77777777" w:rsidR="009A0641" w:rsidRDefault="00000000">
            <w:r>
              <w:rPr>
                <w:rFonts w:ascii="Calibri" w:eastAsia="Calibri" w:hAnsi="Calibri" w:cs="Calibri"/>
                <w:color w:val="000000"/>
                <w:sz w:val="18"/>
                <w:szCs w:val="18"/>
              </w:rPr>
              <w:t>Model training; Statistical analysis</w:t>
            </w:r>
          </w:p>
        </w:tc>
        <w:tc>
          <w:tcPr>
            <w:tcW w:w="2540" w:type="dxa"/>
            <w:tcMar>
              <w:top w:w="60" w:type="dxa"/>
              <w:left w:w="80" w:type="dxa"/>
              <w:bottom w:w="60" w:type="dxa"/>
              <w:right w:w="80" w:type="dxa"/>
            </w:tcMar>
            <w:vAlign w:val="center"/>
          </w:tcPr>
          <w:p w14:paraId="176A7EBD" w14:textId="77777777" w:rsidR="009A0641" w:rsidRPr="00A612A6" w:rsidRDefault="00000000">
            <w:pPr>
              <w:rPr>
                <w:lang w:val="en-US"/>
              </w:rPr>
            </w:pPr>
            <w:r w:rsidRPr="00A612A6">
              <w:rPr>
                <w:rFonts w:ascii="Calibri" w:eastAsia="Calibri" w:hAnsi="Calibri" w:cs="Calibri"/>
                <w:color w:val="000000"/>
                <w:sz w:val="18"/>
                <w:szCs w:val="18"/>
                <w:lang w:val="en-US"/>
              </w:rPr>
              <w:t>Repeated stratified 5×20 outer CV; LOOCV for Firth.</w:t>
            </w:r>
          </w:p>
        </w:tc>
      </w:tr>
      <w:tr w:rsidR="009A0641" w:rsidRPr="00A612A6" w14:paraId="4BD6951F" w14:textId="77777777">
        <w:tc>
          <w:tcPr>
            <w:tcW w:w="700" w:type="dxa"/>
            <w:tcMar>
              <w:top w:w="60" w:type="dxa"/>
              <w:left w:w="80" w:type="dxa"/>
              <w:bottom w:w="60" w:type="dxa"/>
              <w:right w:w="80" w:type="dxa"/>
            </w:tcMar>
            <w:vAlign w:val="center"/>
          </w:tcPr>
          <w:p w14:paraId="151B39E5" w14:textId="77777777" w:rsidR="009A0641" w:rsidRDefault="00000000">
            <w:r>
              <w:rPr>
                <w:rFonts w:ascii="Calibri" w:eastAsia="Calibri" w:hAnsi="Calibri" w:cs="Calibri"/>
                <w:b/>
                <w:bCs/>
                <w:color w:val="000000"/>
                <w:sz w:val="18"/>
                <w:szCs w:val="18"/>
              </w:rPr>
              <w:t>12b</w:t>
            </w:r>
          </w:p>
        </w:tc>
        <w:tc>
          <w:tcPr>
            <w:tcW w:w="3600" w:type="dxa"/>
            <w:tcMar>
              <w:top w:w="60" w:type="dxa"/>
              <w:left w:w="80" w:type="dxa"/>
              <w:bottom w:w="60" w:type="dxa"/>
              <w:right w:w="80" w:type="dxa"/>
            </w:tcMar>
            <w:vAlign w:val="center"/>
          </w:tcPr>
          <w:p w14:paraId="5088D1CB" w14:textId="77777777" w:rsidR="009A0641" w:rsidRPr="00A612A6" w:rsidRDefault="00000000">
            <w:pPr>
              <w:rPr>
                <w:lang w:val="en-US"/>
              </w:rPr>
            </w:pPr>
            <w:r w:rsidRPr="00A612A6">
              <w:rPr>
                <w:rFonts w:ascii="Calibri" w:eastAsia="Calibri" w:hAnsi="Calibri" w:cs="Calibri"/>
                <w:color w:val="000000"/>
                <w:sz w:val="18"/>
                <w:szCs w:val="18"/>
                <w:lang w:val="en-US"/>
              </w:rPr>
              <w:t>How predictors were handled (functional form, rescaling, standardization).</w:t>
            </w:r>
          </w:p>
        </w:tc>
        <w:tc>
          <w:tcPr>
            <w:tcW w:w="1000" w:type="dxa"/>
            <w:tcMar>
              <w:top w:w="60" w:type="dxa"/>
              <w:left w:w="80" w:type="dxa"/>
              <w:bottom w:w="60" w:type="dxa"/>
              <w:right w:w="80" w:type="dxa"/>
            </w:tcMar>
            <w:vAlign w:val="center"/>
          </w:tcPr>
          <w:p w14:paraId="2BE53D27"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1467C3EF" w14:textId="77777777" w:rsidR="009A0641" w:rsidRDefault="00000000">
            <w:r>
              <w:rPr>
                <w:rFonts w:ascii="Calibri" w:eastAsia="Calibri" w:hAnsi="Calibri" w:cs="Calibri"/>
                <w:color w:val="000000"/>
                <w:sz w:val="18"/>
                <w:szCs w:val="18"/>
              </w:rPr>
              <w:t>Data preprocessing; Model training; Supplementary Methods S1</w:t>
            </w:r>
          </w:p>
        </w:tc>
        <w:tc>
          <w:tcPr>
            <w:tcW w:w="2540" w:type="dxa"/>
            <w:tcMar>
              <w:top w:w="60" w:type="dxa"/>
              <w:left w:w="80" w:type="dxa"/>
              <w:bottom w:w="60" w:type="dxa"/>
              <w:right w:w="80" w:type="dxa"/>
            </w:tcMar>
            <w:vAlign w:val="center"/>
          </w:tcPr>
          <w:p w14:paraId="6BD4553A" w14:textId="77777777" w:rsidR="009A0641" w:rsidRPr="00A612A6" w:rsidRDefault="00000000">
            <w:pPr>
              <w:rPr>
                <w:lang w:val="en-US"/>
              </w:rPr>
            </w:pPr>
            <w:r w:rsidRPr="00A612A6">
              <w:rPr>
                <w:lang w:val="en-US"/>
              </w:rPr>
              <w:t>cT/cN/grade entered as linear (ordinal-coded) terms; a dummy-coded categorical sensitivity analysis (Model training; Supplementary Methods S1) showed similar performance to the linear specification.</w:t>
            </w:r>
          </w:p>
        </w:tc>
      </w:tr>
      <w:tr w:rsidR="009A0641" w14:paraId="7CE9F64A" w14:textId="77777777">
        <w:tc>
          <w:tcPr>
            <w:tcW w:w="700" w:type="dxa"/>
            <w:tcMar>
              <w:top w:w="60" w:type="dxa"/>
              <w:left w:w="80" w:type="dxa"/>
              <w:bottom w:w="60" w:type="dxa"/>
              <w:right w:w="80" w:type="dxa"/>
            </w:tcMar>
            <w:vAlign w:val="center"/>
          </w:tcPr>
          <w:p w14:paraId="02239444" w14:textId="77777777" w:rsidR="009A0641" w:rsidRDefault="00000000">
            <w:r>
              <w:rPr>
                <w:rFonts w:ascii="Calibri" w:eastAsia="Calibri" w:hAnsi="Calibri" w:cs="Calibri"/>
                <w:b/>
                <w:bCs/>
                <w:color w:val="000000"/>
                <w:sz w:val="18"/>
                <w:szCs w:val="18"/>
              </w:rPr>
              <w:t>12c</w:t>
            </w:r>
          </w:p>
        </w:tc>
        <w:tc>
          <w:tcPr>
            <w:tcW w:w="3600" w:type="dxa"/>
            <w:tcMar>
              <w:top w:w="60" w:type="dxa"/>
              <w:left w:w="80" w:type="dxa"/>
              <w:bottom w:w="60" w:type="dxa"/>
              <w:right w:w="80" w:type="dxa"/>
            </w:tcMar>
            <w:vAlign w:val="center"/>
          </w:tcPr>
          <w:p w14:paraId="29FBAB8D" w14:textId="77777777" w:rsidR="009A0641" w:rsidRPr="00A612A6" w:rsidRDefault="00000000">
            <w:pPr>
              <w:rPr>
                <w:lang w:val="en-US"/>
              </w:rPr>
            </w:pPr>
            <w:r w:rsidRPr="00A612A6">
              <w:rPr>
                <w:rFonts w:ascii="Calibri" w:eastAsia="Calibri" w:hAnsi="Calibri" w:cs="Calibri"/>
                <w:color w:val="000000"/>
                <w:sz w:val="18"/>
                <w:szCs w:val="18"/>
                <w:lang w:val="en-US"/>
              </w:rPr>
              <w:t>Model type, rationale, building steps, hyperparameter tuning, internal validation.</w:t>
            </w:r>
          </w:p>
        </w:tc>
        <w:tc>
          <w:tcPr>
            <w:tcW w:w="1000" w:type="dxa"/>
            <w:tcMar>
              <w:top w:w="60" w:type="dxa"/>
              <w:left w:w="80" w:type="dxa"/>
              <w:bottom w:w="60" w:type="dxa"/>
              <w:right w:w="80" w:type="dxa"/>
            </w:tcMar>
            <w:vAlign w:val="center"/>
          </w:tcPr>
          <w:p w14:paraId="36F11891"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5A484313" w14:textId="77777777" w:rsidR="009A0641" w:rsidRDefault="00000000">
            <w:r>
              <w:rPr>
                <w:rFonts w:ascii="Calibri" w:eastAsia="Calibri" w:hAnsi="Calibri" w:cs="Calibri"/>
                <w:color w:val="000000"/>
                <w:sz w:val="18"/>
                <w:szCs w:val="18"/>
              </w:rPr>
              <w:t>Model training; Statistical analysis; Supplementary Methods S2–S3</w:t>
            </w:r>
          </w:p>
        </w:tc>
        <w:tc>
          <w:tcPr>
            <w:tcW w:w="2540" w:type="dxa"/>
            <w:tcMar>
              <w:top w:w="60" w:type="dxa"/>
              <w:left w:w="80" w:type="dxa"/>
              <w:bottom w:w="60" w:type="dxa"/>
              <w:right w:w="80" w:type="dxa"/>
            </w:tcMar>
            <w:vAlign w:val="center"/>
          </w:tcPr>
          <w:p w14:paraId="214205EC" w14:textId="77777777" w:rsidR="009A0641" w:rsidRDefault="009A0641">
            <w:r>
              <w:t>Ridge penalty grid, inner cross-validation, random-forest settings, and the seven-seed robustness check are in Supplementary Methods S2; Firth software and its verification are in S3. Model complexity is deliberately limited (about 2.6 events per candidate predictor); results are an exploratory internal estimate, conditional on data-driven predictor-panel selection, and not an externally validated model (Reviewer 2, Round 2, Comments 3 and 5).</w:t>
            </w:r>
          </w:p>
        </w:tc>
      </w:tr>
      <w:tr w:rsidR="009A0641" w:rsidRPr="00A612A6" w14:paraId="5B81B799" w14:textId="77777777">
        <w:tc>
          <w:tcPr>
            <w:tcW w:w="700" w:type="dxa"/>
            <w:tcMar>
              <w:top w:w="60" w:type="dxa"/>
              <w:left w:w="80" w:type="dxa"/>
              <w:bottom w:w="60" w:type="dxa"/>
              <w:right w:w="80" w:type="dxa"/>
            </w:tcMar>
            <w:vAlign w:val="center"/>
          </w:tcPr>
          <w:p w14:paraId="369A60A1" w14:textId="77777777" w:rsidR="009A0641" w:rsidRDefault="00000000">
            <w:r>
              <w:rPr>
                <w:rFonts w:ascii="Calibri" w:eastAsia="Calibri" w:hAnsi="Calibri" w:cs="Calibri"/>
                <w:b/>
                <w:bCs/>
                <w:color w:val="000000"/>
                <w:sz w:val="18"/>
                <w:szCs w:val="18"/>
              </w:rPr>
              <w:t>12d</w:t>
            </w:r>
          </w:p>
        </w:tc>
        <w:tc>
          <w:tcPr>
            <w:tcW w:w="3600" w:type="dxa"/>
            <w:tcMar>
              <w:top w:w="60" w:type="dxa"/>
              <w:left w:w="80" w:type="dxa"/>
              <w:bottom w:w="60" w:type="dxa"/>
              <w:right w:w="80" w:type="dxa"/>
            </w:tcMar>
            <w:vAlign w:val="center"/>
          </w:tcPr>
          <w:p w14:paraId="5B79E21E" w14:textId="77777777" w:rsidR="009A0641" w:rsidRDefault="00000000">
            <w:r>
              <w:rPr>
                <w:rFonts w:ascii="Calibri" w:eastAsia="Calibri" w:hAnsi="Calibri" w:cs="Calibri"/>
                <w:color w:val="000000"/>
                <w:sz w:val="18"/>
                <w:szCs w:val="18"/>
              </w:rPr>
              <w:t>Heterogeneity across clusters.</w:t>
            </w:r>
          </w:p>
        </w:tc>
        <w:tc>
          <w:tcPr>
            <w:tcW w:w="1000" w:type="dxa"/>
            <w:tcMar>
              <w:top w:w="60" w:type="dxa"/>
              <w:left w:w="80" w:type="dxa"/>
              <w:bottom w:w="60" w:type="dxa"/>
              <w:right w:w="80" w:type="dxa"/>
            </w:tcMar>
            <w:vAlign w:val="center"/>
          </w:tcPr>
          <w:p w14:paraId="6DE48CBC" w14:textId="77777777" w:rsidR="009A0641" w:rsidRDefault="00000000">
            <w:r>
              <w:rPr>
                <w:rFonts w:ascii="Calibri" w:eastAsia="Calibri" w:hAnsi="Calibri" w:cs="Calibri"/>
                <w:b/>
                <w:bCs/>
                <w:color w:val="808080"/>
                <w:sz w:val="18"/>
                <w:szCs w:val="18"/>
              </w:rPr>
              <w:t>N/A</w:t>
            </w:r>
          </w:p>
        </w:tc>
        <w:tc>
          <w:tcPr>
            <w:tcW w:w="2600" w:type="dxa"/>
            <w:tcMar>
              <w:top w:w="60" w:type="dxa"/>
              <w:left w:w="80" w:type="dxa"/>
              <w:bottom w:w="60" w:type="dxa"/>
              <w:right w:w="80" w:type="dxa"/>
            </w:tcMar>
            <w:vAlign w:val="center"/>
          </w:tcPr>
          <w:p w14:paraId="73F80174"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0C5CB468" w14:textId="77777777" w:rsidR="009A0641" w:rsidRPr="00A612A6" w:rsidRDefault="00000000">
            <w:pPr>
              <w:rPr>
                <w:lang w:val="en-US"/>
              </w:rPr>
            </w:pPr>
            <w:r w:rsidRPr="00A612A6">
              <w:rPr>
                <w:rFonts w:ascii="Calibri" w:eastAsia="Calibri" w:hAnsi="Calibri" w:cs="Calibri"/>
                <w:color w:val="000000"/>
                <w:sz w:val="18"/>
                <w:szCs w:val="18"/>
                <w:lang w:val="en-US"/>
              </w:rPr>
              <w:t>Single-center study; no clusters.</w:t>
            </w:r>
          </w:p>
        </w:tc>
      </w:tr>
      <w:tr w:rsidR="009A0641" w:rsidRPr="00A612A6" w14:paraId="4948FCC9" w14:textId="77777777">
        <w:tc>
          <w:tcPr>
            <w:tcW w:w="700" w:type="dxa"/>
            <w:tcMar>
              <w:top w:w="60" w:type="dxa"/>
              <w:left w:w="80" w:type="dxa"/>
              <w:bottom w:w="60" w:type="dxa"/>
              <w:right w:w="80" w:type="dxa"/>
            </w:tcMar>
            <w:vAlign w:val="center"/>
          </w:tcPr>
          <w:p w14:paraId="1A6D3CCE" w14:textId="77777777" w:rsidR="009A0641" w:rsidRDefault="00000000">
            <w:r>
              <w:rPr>
                <w:rFonts w:ascii="Calibri" w:eastAsia="Calibri" w:hAnsi="Calibri" w:cs="Calibri"/>
                <w:b/>
                <w:bCs/>
                <w:color w:val="000000"/>
                <w:sz w:val="18"/>
                <w:szCs w:val="18"/>
              </w:rPr>
              <w:t>12e</w:t>
            </w:r>
          </w:p>
        </w:tc>
        <w:tc>
          <w:tcPr>
            <w:tcW w:w="3600" w:type="dxa"/>
            <w:tcMar>
              <w:top w:w="60" w:type="dxa"/>
              <w:left w:w="80" w:type="dxa"/>
              <w:bottom w:w="60" w:type="dxa"/>
              <w:right w:w="80" w:type="dxa"/>
            </w:tcMar>
            <w:vAlign w:val="center"/>
          </w:tcPr>
          <w:p w14:paraId="6BC2649A" w14:textId="77777777" w:rsidR="009A0641" w:rsidRPr="00A612A6" w:rsidRDefault="00000000">
            <w:pPr>
              <w:rPr>
                <w:lang w:val="en-US"/>
              </w:rPr>
            </w:pPr>
            <w:r w:rsidRPr="00A612A6">
              <w:rPr>
                <w:rFonts w:ascii="Calibri" w:eastAsia="Calibri" w:hAnsi="Calibri" w:cs="Calibri"/>
                <w:color w:val="000000"/>
                <w:sz w:val="18"/>
                <w:szCs w:val="18"/>
                <w:lang w:val="en-US"/>
              </w:rPr>
              <w:t>Measures/plots used to evaluate and compare model performance.</w:t>
            </w:r>
          </w:p>
        </w:tc>
        <w:tc>
          <w:tcPr>
            <w:tcW w:w="1000" w:type="dxa"/>
            <w:tcMar>
              <w:top w:w="60" w:type="dxa"/>
              <w:left w:w="80" w:type="dxa"/>
              <w:bottom w:w="60" w:type="dxa"/>
              <w:right w:w="80" w:type="dxa"/>
            </w:tcMar>
            <w:vAlign w:val="center"/>
          </w:tcPr>
          <w:p w14:paraId="1B9A69E0"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0DDC68A8" w14:textId="77777777" w:rsidR="009A0641" w:rsidRDefault="00000000">
            <w:r>
              <w:rPr>
                <w:rFonts w:ascii="Calibri" w:eastAsia="Calibri" w:hAnsi="Calibri" w:cs="Calibri"/>
                <w:color w:val="000000"/>
                <w:sz w:val="18"/>
                <w:szCs w:val="18"/>
              </w:rPr>
              <w:t>Statistical analysis; Results; Supplementary Methods S4</w:t>
            </w:r>
          </w:p>
        </w:tc>
        <w:tc>
          <w:tcPr>
            <w:tcW w:w="2540" w:type="dxa"/>
            <w:tcMar>
              <w:top w:w="60" w:type="dxa"/>
              <w:left w:w="80" w:type="dxa"/>
              <w:bottom w:w="60" w:type="dxa"/>
              <w:right w:w="80" w:type="dxa"/>
            </w:tcMar>
            <w:vAlign w:val="center"/>
          </w:tcPr>
          <w:p w14:paraId="5BA7A3EF" w14:textId="77777777" w:rsidR="009A0641" w:rsidRPr="00A612A6" w:rsidRDefault="00000000">
            <w:pPr>
              <w:rPr>
                <w:lang w:val="en-US"/>
              </w:rPr>
            </w:pPr>
            <w:r w:rsidRPr="00A612A6">
              <w:rPr>
                <w:rFonts w:ascii="Calibri" w:eastAsia="Calibri" w:hAnsi="Calibri" w:cs="Calibri"/>
                <w:color w:val="000000"/>
                <w:sz w:val="18"/>
                <w:szCs w:val="18"/>
                <w:lang w:val="en-US"/>
              </w:rPr>
              <w:t>AUC, PR-AUC, Brier (+ scaled Brier), calibration, bootstrap CIs; definitions in Supplementary Methods S4.</w:t>
            </w:r>
          </w:p>
        </w:tc>
      </w:tr>
      <w:tr w:rsidR="009A0641" w14:paraId="4BF4E9C3" w14:textId="77777777">
        <w:tc>
          <w:tcPr>
            <w:tcW w:w="700" w:type="dxa"/>
            <w:tcMar>
              <w:top w:w="60" w:type="dxa"/>
              <w:left w:w="80" w:type="dxa"/>
              <w:bottom w:w="60" w:type="dxa"/>
              <w:right w:w="80" w:type="dxa"/>
            </w:tcMar>
            <w:vAlign w:val="center"/>
          </w:tcPr>
          <w:p w14:paraId="1016999E" w14:textId="77777777" w:rsidR="009A0641" w:rsidRDefault="00000000">
            <w:r>
              <w:rPr>
                <w:rFonts w:ascii="Calibri" w:eastAsia="Calibri" w:hAnsi="Calibri" w:cs="Calibri"/>
                <w:b/>
                <w:bCs/>
                <w:color w:val="000000"/>
                <w:sz w:val="18"/>
                <w:szCs w:val="18"/>
              </w:rPr>
              <w:t>12f</w:t>
            </w:r>
          </w:p>
        </w:tc>
        <w:tc>
          <w:tcPr>
            <w:tcW w:w="3600" w:type="dxa"/>
            <w:tcMar>
              <w:top w:w="60" w:type="dxa"/>
              <w:left w:w="80" w:type="dxa"/>
              <w:bottom w:w="60" w:type="dxa"/>
              <w:right w:w="80" w:type="dxa"/>
            </w:tcMar>
            <w:vAlign w:val="center"/>
          </w:tcPr>
          <w:p w14:paraId="4E0FF9C5" w14:textId="77777777" w:rsidR="009A0641" w:rsidRPr="00A612A6" w:rsidRDefault="00000000">
            <w:pPr>
              <w:rPr>
                <w:lang w:val="en-US"/>
              </w:rPr>
            </w:pPr>
            <w:r w:rsidRPr="00A612A6">
              <w:rPr>
                <w:rFonts w:ascii="Calibri" w:eastAsia="Calibri" w:hAnsi="Calibri" w:cs="Calibri"/>
                <w:color w:val="000000"/>
                <w:sz w:val="18"/>
                <w:szCs w:val="18"/>
                <w:lang w:val="en-US"/>
              </w:rPr>
              <w:t>Model updating from evaluation (E only).</w:t>
            </w:r>
          </w:p>
        </w:tc>
        <w:tc>
          <w:tcPr>
            <w:tcW w:w="1000" w:type="dxa"/>
            <w:tcMar>
              <w:top w:w="60" w:type="dxa"/>
              <w:left w:w="80" w:type="dxa"/>
              <w:bottom w:w="60" w:type="dxa"/>
              <w:right w:w="80" w:type="dxa"/>
            </w:tcMar>
            <w:vAlign w:val="center"/>
          </w:tcPr>
          <w:p w14:paraId="55EDDD52" w14:textId="77777777" w:rsidR="009A0641" w:rsidRDefault="00000000">
            <w:r>
              <w:rPr>
                <w:rFonts w:ascii="Calibri" w:eastAsia="Calibri" w:hAnsi="Calibri" w:cs="Calibri"/>
                <w:b/>
                <w:bCs/>
                <w:color w:val="808080"/>
                <w:sz w:val="18"/>
                <w:szCs w:val="18"/>
              </w:rPr>
              <w:t>N/A</w:t>
            </w:r>
          </w:p>
        </w:tc>
        <w:tc>
          <w:tcPr>
            <w:tcW w:w="2600" w:type="dxa"/>
            <w:tcMar>
              <w:top w:w="60" w:type="dxa"/>
              <w:left w:w="80" w:type="dxa"/>
              <w:bottom w:w="60" w:type="dxa"/>
              <w:right w:w="80" w:type="dxa"/>
            </w:tcMar>
            <w:vAlign w:val="center"/>
          </w:tcPr>
          <w:p w14:paraId="21507C11"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27B45385" w14:textId="77777777" w:rsidR="009A0641" w:rsidRDefault="00000000">
            <w:r>
              <w:rPr>
                <w:rFonts w:ascii="Calibri" w:eastAsia="Calibri" w:hAnsi="Calibri" w:cs="Calibri"/>
                <w:color w:val="000000"/>
                <w:sz w:val="18"/>
                <w:szCs w:val="18"/>
              </w:rPr>
              <w:t>No external evaluation dataset.</w:t>
            </w:r>
          </w:p>
        </w:tc>
      </w:tr>
      <w:tr w:rsidR="009A0641" w14:paraId="1CB8A43F" w14:textId="77777777">
        <w:tc>
          <w:tcPr>
            <w:tcW w:w="700" w:type="dxa"/>
            <w:tcMar>
              <w:top w:w="60" w:type="dxa"/>
              <w:left w:w="80" w:type="dxa"/>
              <w:bottom w:w="60" w:type="dxa"/>
              <w:right w:w="80" w:type="dxa"/>
            </w:tcMar>
            <w:vAlign w:val="center"/>
          </w:tcPr>
          <w:p w14:paraId="0DB8AC85" w14:textId="77777777" w:rsidR="009A0641" w:rsidRDefault="00000000">
            <w:r>
              <w:rPr>
                <w:rFonts w:ascii="Calibri" w:eastAsia="Calibri" w:hAnsi="Calibri" w:cs="Calibri"/>
                <w:b/>
                <w:bCs/>
                <w:color w:val="000000"/>
                <w:sz w:val="18"/>
                <w:szCs w:val="18"/>
              </w:rPr>
              <w:lastRenderedPageBreak/>
              <w:t>12g</w:t>
            </w:r>
          </w:p>
        </w:tc>
        <w:tc>
          <w:tcPr>
            <w:tcW w:w="3600" w:type="dxa"/>
            <w:tcMar>
              <w:top w:w="60" w:type="dxa"/>
              <w:left w:w="80" w:type="dxa"/>
              <w:bottom w:w="60" w:type="dxa"/>
              <w:right w:w="80" w:type="dxa"/>
            </w:tcMar>
            <w:vAlign w:val="center"/>
          </w:tcPr>
          <w:p w14:paraId="00BF1328" w14:textId="77777777" w:rsidR="009A0641" w:rsidRPr="00A612A6" w:rsidRDefault="00000000">
            <w:pPr>
              <w:rPr>
                <w:lang w:val="en-US"/>
              </w:rPr>
            </w:pPr>
            <w:r w:rsidRPr="00A612A6">
              <w:rPr>
                <w:rFonts w:ascii="Calibri" w:eastAsia="Calibri" w:hAnsi="Calibri" w:cs="Calibri"/>
                <w:color w:val="000000"/>
                <w:sz w:val="18"/>
                <w:szCs w:val="18"/>
                <w:lang w:val="en-US"/>
              </w:rPr>
              <w:t>How evaluation predictions were calculated (E only).</w:t>
            </w:r>
          </w:p>
        </w:tc>
        <w:tc>
          <w:tcPr>
            <w:tcW w:w="1000" w:type="dxa"/>
            <w:tcMar>
              <w:top w:w="60" w:type="dxa"/>
              <w:left w:w="80" w:type="dxa"/>
              <w:bottom w:w="60" w:type="dxa"/>
              <w:right w:w="80" w:type="dxa"/>
            </w:tcMar>
            <w:vAlign w:val="center"/>
          </w:tcPr>
          <w:p w14:paraId="3D4E98C8" w14:textId="77777777" w:rsidR="009A0641" w:rsidRDefault="00000000">
            <w:r>
              <w:rPr>
                <w:rFonts w:ascii="Calibri" w:eastAsia="Calibri" w:hAnsi="Calibri" w:cs="Calibri"/>
                <w:b/>
                <w:bCs/>
                <w:color w:val="808080"/>
                <w:sz w:val="18"/>
                <w:szCs w:val="18"/>
              </w:rPr>
              <w:t>N/A</w:t>
            </w:r>
          </w:p>
        </w:tc>
        <w:tc>
          <w:tcPr>
            <w:tcW w:w="2600" w:type="dxa"/>
            <w:tcMar>
              <w:top w:w="60" w:type="dxa"/>
              <w:left w:w="80" w:type="dxa"/>
              <w:bottom w:w="60" w:type="dxa"/>
              <w:right w:w="80" w:type="dxa"/>
            </w:tcMar>
            <w:vAlign w:val="center"/>
          </w:tcPr>
          <w:p w14:paraId="0B4813CB"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672BF73C" w14:textId="77777777" w:rsidR="009A0641" w:rsidRDefault="00000000">
            <w:r>
              <w:rPr>
                <w:rFonts w:ascii="Calibri" w:eastAsia="Calibri" w:hAnsi="Calibri" w:cs="Calibri"/>
                <w:color w:val="000000"/>
                <w:sz w:val="18"/>
                <w:szCs w:val="18"/>
              </w:rPr>
              <w:t>No external evaluation dataset.</w:t>
            </w:r>
          </w:p>
        </w:tc>
      </w:tr>
      <w:tr w:rsidR="009A0641" w14:paraId="78423A28" w14:textId="77777777">
        <w:tc>
          <w:tcPr>
            <w:tcW w:w="10440" w:type="dxa"/>
            <w:gridSpan w:val="5"/>
            <w:shd w:val="clear" w:color="auto" w:fill="D9E2F3"/>
            <w:tcMar>
              <w:top w:w="60" w:type="dxa"/>
              <w:left w:w="80" w:type="dxa"/>
              <w:bottom w:w="60" w:type="dxa"/>
              <w:right w:w="80" w:type="dxa"/>
            </w:tcMar>
          </w:tcPr>
          <w:p w14:paraId="7281CA7E" w14:textId="77777777" w:rsidR="009A0641" w:rsidRDefault="00000000">
            <w:r>
              <w:rPr>
                <w:rFonts w:ascii="Calibri" w:eastAsia="Calibri" w:hAnsi="Calibri" w:cs="Calibri"/>
                <w:b/>
                <w:bCs/>
                <w:sz w:val="19"/>
                <w:szCs w:val="19"/>
              </w:rPr>
              <w:t>Methods — Class Imbalance</w:t>
            </w:r>
          </w:p>
        </w:tc>
      </w:tr>
      <w:tr w:rsidR="009A0641" w:rsidRPr="00A612A6" w14:paraId="556B4ECB" w14:textId="77777777">
        <w:tc>
          <w:tcPr>
            <w:tcW w:w="700" w:type="dxa"/>
            <w:tcMar>
              <w:top w:w="60" w:type="dxa"/>
              <w:left w:w="80" w:type="dxa"/>
              <w:bottom w:w="60" w:type="dxa"/>
              <w:right w:w="80" w:type="dxa"/>
            </w:tcMar>
            <w:vAlign w:val="center"/>
          </w:tcPr>
          <w:p w14:paraId="1FBE1070" w14:textId="77777777" w:rsidR="009A0641" w:rsidRDefault="00000000">
            <w:r>
              <w:rPr>
                <w:rFonts w:ascii="Calibri" w:eastAsia="Calibri" w:hAnsi="Calibri" w:cs="Calibri"/>
                <w:b/>
                <w:bCs/>
                <w:color w:val="000000"/>
                <w:sz w:val="18"/>
                <w:szCs w:val="18"/>
              </w:rPr>
              <w:t>13</w:t>
            </w:r>
          </w:p>
        </w:tc>
        <w:tc>
          <w:tcPr>
            <w:tcW w:w="3600" w:type="dxa"/>
            <w:tcMar>
              <w:top w:w="60" w:type="dxa"/>
              <w:left w:w="80" w:type="dxa"/>
              <w:bottom w:w="60" w:type="dxa"/>
              <w:right w:w="80" w:type="dxa"/>
            </w:tcMar>
            <w:vAlign w:val="center"/>
          </w:tcPr>
          <w:p w14:paraId="59894E8F" w14:textId="77777777" w:rsidR="009A0641" w:rsidRPr="00A612A6" w:rsidRDefault="00000000">
            <w:pPr>
              <w:rPr>
                <w:lang w:val="en-US"/>
              </w:rPr>
            </w:pPr>
            <w:r w:rsidRPr="00A612A6">
              <w:rPr>
                <w:rFonts w:ascii="Calibri" w:eastAsia="Calibri" w:hAnsi="Calibri" w:cs="Calibri"/>
                <w:color w:val="000000"/>
                <w:sz w:val="18"/>
                <w:szCs w:val="18"/>
                <w:lang w:val="en-US"/>
              </w:rPr>
              <w:t>If class imbalance methods used, state why/how, and any recalibration.</w:t>
            </w:r>
          </w:p>
        </w:tc>
        <w:tc>
          <w:tcPr>
            <w:tcW w:w="1000" w:type="dxa"/>
            <w:tcMar>
              <w:top w:w="60" w:type="dxa"/>
              <w:left w:w="80" w:type="dxa"/>
              <w:bottom w:w="60" w:type="dxa"/>
              <w:right w:w="80" w:type="dxa"/>
            </w:tcMar>
            <w:vAlign w:val="center"/>
          </w:tcPr>
          <w:p w14:paraId="0397B4CC"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6DFF9859" w14:textId="77777777" w:rsidR="009A0641" w:rsidRDefault="00000000">
            <w:r>
              <w:rPr>
                <w:rFonts w:ascii="Calibri" w:eastAsia="Calibri" w:hAnsi="Calibri" w:cs="Calibri"/>
                <w:color w:val="000000"/>
                <w:sz w:val="18"/>
                <w:szCs w:val="18"/>
              </w:rPr>
              <w:t>Model training (random forest)</w:t>
            </w:r>
          </w:p>
        </w:tc>
        <w:tc>
          <w:tcPr>
            <w:tcW w:w="2540" w:type="dxa"/>
            <w:tcMar>
              <w:top w:w="60" w:type="dxa"/>
              <w:left w:w="80" w:type="dxa"/>
              <w:bottom w:w="60" w:type="dxa"/>
              <w:right w:w="80" w:type="dxa"/>
            </w:tcMar>
            <w:vAlign w:val="center"/>
          </w:tcPr>
          <w:p w14:paraId="01848EEA" w14:textId="77777777" w:rsidR="009A0641" w:rsidRPr="00A612A6" w:rsidRDefault="00000000">
            <w:pPr>
              <w:rPr>
                <w:lang w:val="en-US"/>
              </w:rPr>
            </w:pPr>
            <w:r w:rsidRPr="00A612A6">
              <w:rPr>
                <w:rFonts w:ascii="Calibri" w:eastAsia="Calibri" w:hAnsi="Calibri" w:cs="Calibri"/>
                <w:color w:val="000000"/>
                <w:sz w:val="18"/>
                <w:szCs w:val="18"/>
                <w:lang w:val="en-US"/>
              </w:rPr>
              <w:t>Class-balanced sample weighting used for random forest only.</w:t>
            </w:r>
          </w:p>
        </w:tc>
      </w:tr>
      <w:tr w:rsidR="009A0641" w14:paraId="6487A8C0" w14:textId="77777777">
        <w:tc>
          <w:tcPr>
            <w:tcW w:w="10440" w:type="dxa"/>
            <w:gridSpan w:val="5"/>
            <w:shd w:val="clear" w:color="auto" w:fill="D9E2F3"/>
            <w:tcMar>
              <w:top w:w="60" w:type="dxa"/>
              <w:left w:w="80" w:type="dxa"/>
              <w:bottom w:w="60" w:type="dxa"/>
              <w:right w:w="80" w:type="dxa"/>
            </w:tcMar>
          </w:tcPr>
          <w:p w14:paraId="10BAACE6" w14:textId="77777777" w:rsidR="009A0641" w:rsidRDefault="00000000">
            <w:r>
              <w:rPr>
                <w:rFonts w:ascii="Calibri" w:eastAsia="Calibri" w:hAnsi="Calibri" w:cs="Calibri"/>
                <w:b/>
                <w:bCs/>
                <w:sz w:val="19"/>
                <w:szCs w:val="19"/>
              </w:rPr>
              <w:t>Methods — Fairness</w:t>
            </w:r>
          </w:p>
        </w:tc>
      </w:tr>
      <w:tr w:rsidR="009A0641" w:rsidRPr="00A612A6" w14:paraId="6ACE1B94" w14:textId="77777777">
        <w:tc>
          <w:tcPr>
            <w:tcW w:w="700" w:type="dxa"/>
            <w:tcMar>
              <w:top w:w="60" w:type="dxa"/>
              <w:left w:w="80" w:type="dxa"/>
              <w:bottom w:w="60" w:type="dxa"/>
              <w:right w:w="80" w:type="dxa"/>
            </w:tcMar>
            <w:vAlign w:val="center"/>
          </w:tcPr>
          <w:p w14:paraId="4361CC9B" w14:textId="77777777" w:rsidR="009A0641" w:rsidRDefault="00000000">
            <w:r>
              <w:rPr>
                <w:rFonts w:ascii="Calibri" w:eastAsia="Calibri" w:hAnsi="Calibri" w:cs="Calibri"/>
                <w:b/>
                <w:bCs/>
                <w:color w:val="000000"/>
                <w:sz w:val="18"/>
                <w:szCs w:val="18"/>
              </w:rPr>
              <w:t>14</w:t>
            </w:r>
          </w:p>
        </w:tc>
        <w:tc>
          <w:tcPr>
            <w:tcW w:w="3600" w:type="dxa"/>
            <w:tcMar>
              <w:top w:w="60" w:type="dxa"/>
              <w:left w:w="80" w:type="dxa"/>
              <w:bottom w:w="60" w:type="dxa"/>
              <w:right w:w="80" w:type="dxa"/>
            </w:tcMar>
            <w:vAlign w:val="center"/>
          </w:tcPr>
          <w:p w14:paraId="19F31DA5" w14:textId="77777777" w:rsidR="009A0641" w:rsidRPr="00A612A6" w:rsidRDefault="00000000">
            <w:pPr>
              <w:rPr>
                <w:lang w:val="en-US"/>
              </w:rPr>
            </w:pPr>
            <w:r w:rsidRPr="00A612A6">
              <w:rPr>
                <w:rFonts w:ascii="Calibri" w:eastAsia="Calibri" w:hAnsi="Calibri" w:cs="Calibri"/>
                <w:color w:val="000000"/>
                <w:sz w:val="18"/>
                <w:szCs w:val="18"/>
                <w:lang w:val="en-US"/>
              </w:rPr>
              <w:t>Approaches used to address model fairness and rationale.</w:t>
            </w:r>
          </w:p>
        </w:tc>
        <w:tc>
          <w:tcPr>
            <w:tcW w:w="1000" w:type="dxa"/>
            <w:tcMar>
              <w:top w:w="60" w:type="dxa"/>
              <w:left w:w="80" w:type="dxa"/>
              <w:bottom w:w="60" w:type="dxa"/>
              <w:right w:w="80" w:type="dxa"/>
            </w:tcMar>
            <w:vAlign w:val="center"/>
          </w:tcPr>
          <w:p w14:paraId="1EC4F36C" w14:textId="77777777" w:rsidR="009A0641" w:rsidRDefault="00000000">
            <w:r>
              <w:rPr>
                <w:rFonts w:ascii="Calibri" w:eastAsia="Calibri" w:hAnsi="Calibri" w:cs="Calibri"/>
                <w:b/>
                <w:bCs/>
                <w:color w:val="C00000"/>
                <w:sz w:val="18"/>
                <w:szCs w:val="18"/>
              </w:rPr>
              <w:t>Not reported</w:t>
            </w:r>
          </w:p>
        </w:tc>
        <w:tc>
          <w:tcPr>
            <w:tcW w:w="2600" w:type="dxa"/>
            <w:tcMar>
              <w:top w:w="60" w:type="dxa"/>
              <w:left w:w="80" w:type="dxa"/>
              <w:bottom w:w="60" w:type="dxa"/>
              <w:right w:w="80" w:type="dxa"/>
            </w:tcMar>
            <w:vAlign w:val="center"/>
          </w:tcPr>
          <w:p w14:paraId="04BB3DB8"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1E3B7A43" w14:textId="77777777" w:rsidR="009A0641" w:rsidRPr="00A612A6" w:rsidRDefault="00000000">
            <w:pPr>
              <w:rPr>
                <w:lang w:val="en-US"/>
              </w:rPr>
            </w:pPr>
            <w:r w:rsidRPr="00A612A6">
              <w:rPr>
                <w:rFonts w:ascii="Calibri" w:eastAsia="Calibri" w:hAnsi="Calibri" w:cs="Calibri"/>
                <w:color w:val="000000"/>
                <w:sz w:val="18"/>
                <w:szCs w:val="18"/>
                <w:lang w:val="en-US"/>
              </w:rPr>
              <w:t>No fairness-focused analysis across sociodemographic subgroups.</w:t>
            </w:r>
          </w:p>
        </w:tc>
      </w:tr>
      <w:tr w:rsidR="009A0641" w14:paraId="566A35E1" w14:textId="77777777">
        <w:tc>
          <w:tcPr>
            <w:tcW w:w="10440" w:type="dxa"/>
            <w:gridSpan w:val="5"/>
            <w:shd w:val="clear" w:color="auto" w:fill="D9E2F3"/>
            <w:tcMar>
              <w:top w:w="60" w:type="dxa"/>
              <w:left w:w="80" w:type="dxa"/>
              <w:bottom w:w="60" w:type="dxa"/>
              <w:right w:w="80" w:type="dxa"/>
            </w:tcMar>
          </w:tcPr>
          <w:p w14:paraId="0004E24C" w14:textId="77777777" w:rsidR="009A0641" w:rsidRDefault="00000000">
            <w:r>
              <w:rPr>
                <w:rFonts w:ascii="Calibri" w:eastAsia="Calibri" w:hAnsi="Calibri" w:cs="Calibri"/>
                <w:b/>
                <w:bCs/>
                <w:sz w:val="19"/>
                <w:szCs w:val="19"/>
              </w:rPr>
              <w:t>Methods — Model Output</w:t>
            </w:r>
          </w:p>
        </w:tc>
      </w:tr>
      <w:tr w:rsidR="009A0641" w:rsidRPr="00A612A6" w14:paraId="7BED609D" w14:textId="77777777">
        <w:tc>
          <w:tcPr>
            <w:tcW w:w="700" w:type="dxa"/>
            <w:tcMar>
              <w:top w:w="60" w:type="dxa"/>
              <w:left w:w="80" w:type="dxa"/>
              <w:bottom w:w="60" w:type="dxa"/>
              <w:right w:w="80" w:type="dxa"/>
            </w:tcMar>
            <w:vAlign w:val="center"/>
          </w:tcPr>
          <w:p w14:paraId="43A1E264" w14:textId="77777777" w:rsidR="009A0641" w:rsidRDefault="00000000">
            <w:r>
              <w:rPr>
                <w:rFonts w:ascii="Calibri" w:eastAsia="Calibri" w:hAnsi="Calibri" w:cs="Calibri"/>
                <w:b/>
                <w:bCs/>
                <w:color w:val="000000"/>
                <w:sz w:val="18"/>
                <w:szCs w:val="18"/>
              </w:rPr>
              <w:t>15</w:t>
            </w:r>
          </w:p>
        </w:tc>
        <w:tc>
          <w:tcPr>
            <w:tcW w:w="3600" w:type="dxa"/>
            <w:tcMar>
              <w:top w:w="60" w:type="dxa"/>
              <w:left w:w="80" w:type="dxa"/>
              <w:bottom w:w="60" w:type="dxa"/>
              <w:right w:w="80" w:type="dxa"/>
            </w:tcMar>
            <w:vAlign w:val="center"/>
          </w:tcPr>
          <w:p w14:paraId="3476DC03" w14:textId="77777777" w:rsidR="009A0641" w:rsidRPr="00A612A6" w:rsidRDefault="00000000">
            <w:pPr>
              <w:rPr>
                <w:lang w:val="en-US"/>
              </w:rPr>
            </w:pPr>
            <w:r w:rsidRPr="00A612A6">
              <w:rPr>
                <w:rFonts w:ascii="Calibri" w:eastAsia="Calibri" w:hAnsi="Calibri" w:cs="Calibri"/>
                <w:color w:val="000000"/>
                <w:sz w:val="18"/>
                <w:szCs w:val="18"/>
                <w:lang w:val="en-US"/>
              </w:rPr>
              <w:t>Output of the model; classification thresholds and rationale.</w:t>
            </w:r>
          </w:p>
        </w:tc>
        <w:tc>
          <w:tcPr>
            <w:tcW w:w="1000" w:type="dxa"/>
            <w:tcMar>
              <w:top w:w="60" w:type="dxa"/>
              <w:left w:w="80" w:type="dxa"/>
              <w:bottom w:w="60" w:type="dxa"/>
              <w:right w:w="80" w:type="dxa"/>
            </w:tcMar>
            <w:vAlign w:val="center"/>
          </w:tcPr>
          <w:p w14:paraId="4EE33615"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7D9E990B" w14:textId="77777777" w:rsidR="009A0641" w:rsidRDefault="00000000">
            <w:r>
              <w:rPr>
                <w:rFonts w:ascii="Calibri" w:eastAsia="Calibri" w:hAnsi="Calibri" w:cs="Calibri"/>
                <w:color w:val="000000"/>
                <w:sz w:val="18"/>
                <w:szCs w:val="18"/>
              </w:rPr>
              <w:t>Statistical analysis; Limitations</w:t>
            </w:r>
          </w:p>
        </w:tc>
        <w:tc>
          <w:tcPr>
            <w:tcW w:w="2540" w:type="dxa"/>
            <w:tcMar>
              <w:top w:w="60" w:type="dxa"/>
              <w:left w:w="80" w:type="dxa"/>
              <w:bottom w:w="60" w:type="dxa"/>
              <w:right w:w="80" w:type="dxa"/>
            </w:tcMar>
            <w:vAlign w:val="center"/>
          </w:tcPr>
          <w:p w14:paraId="48623DE5" w14:textId="77777777" w:rsidR="009A0641" w:rsidRPr="00A612A6" w:rsidRDefault="00000000">
            <w:pPr>
              <w:rPr>
                <w:lang w:val="en-US"/>
              </w:rPr>
            </w:pPr>
            <w:r w:rsidRPr="00A612A6">
              <w:rPr>
                <w:rFonts w:ascii="Calibri" w:eastAsia="Calibri" w:hAnsi="Calibri" w:cs="Calibri"/>
                <w:color w:val="000000"/>
                <w:sz w:val="18"/>
                <w:szCs w:val="18"/>
                <w:lang w:val="en-US"/>
              </w:rPr>
              <w:t>Predicted probabilities; 0.50 threshold explicitly described as descriptive only, not clinically optimized.</w:t>
            </w:r>
          </w:p>
        </w:tc>
      </w:tr>
      <w:tr w:rsidR="009A0641" w14:paraId="1262ECF0" w14:textId="77777777">
        <w:tc>
          <w:tcPr>
            <w:tcW w:w="10440" w:type="dxa"/>
            <w:gridSpan w:val="5"/>
            <w:shd w:val="clear" w:color="auto" w:fill="D9E2F3"/>
            <w:tcMar>
              <w:top w:w="60" w:type="dxa"/>
              <w:left w:w="80" w:type="dxa"/>
              <w:bottom w:w="60" w:type="dxa"/>
              <w:right w:w="80" w:type="dxa"/>
            </w:tcMar>
          </w:tcPr>
          <w:p w14:paraId="5CA072DA" w14:textId="77777777" w:rsidR="009A0641" w:rsidRDefault="00000000">
            <w:r>
              <w:rPr>
                <w:rFonts w:ascii="Calibri" w:eastAsia="Calibri" w:hAnsi="Calibri" w:cs="Calibri"/>
                <w:b/>
                <w:bCs/>
                <w:sz w:val="19"/>
                <w:szCs w:val="19"/>
              </w:rPr>
              <w:t>Methods — Training vs. Evaluation</w:t>
            </w:r>
          </w:p>
        </w:tc>
      </w:tr>
      <w:tr w:rsidR="009A0641" w:rsidRPr="00A612A6" w14:paraId="4267FC14" w14:textId="77777777">
        <w:tc>
          <w:tcPr>
            <w:tcW w:w="700" w:type="dxa"/>
            <w:tcMar>
              <w:top w:w="60" w:type="dxa"/>
              <w:left w:w="80" w:type="dxa"/>
              <w:bottom w:w="60" w:type="dxa"/>
              <w:right w:w="80" w:type="dxa"/>
            </w:tcMar>
            <w:vAlign w:val="center"/>
          </w:tcPr>
          <w:p w14:paraId="7828818F" w14:textId="77777777" w:rsidR="009A0641" w:rsidRDefault="00000000">
            <w:r>
              <w:rPr>
                <w:rFonts w:ascii="Calibri" w:eastAsia="Calibri" w:hAnsi="Calibri" w:cs="Calibri"/>
                <w:b/>
                <w:bCs/>
                <w:color w:val="000000"/>
                <w:sz w:val="18"/>
                <w:szCs w:val="18"/>
              </w:rPr>
              <w:t>16</w:t>
            </w:r>
          </w:p>
        </w:tc>
        <w:tc>
          <w:tcPr>
            <w:tcW w:w="3600" w:type="dxa"/>
            <w:tcMar>
              <w:top w:w="60" w:type="dxa"/>
              <w:left w:w="80" w:type="dxa"/>
              <w:bottom w:w="60" w:type="dxa"/>
              <w:right w:w="80" w:type="dxa"/>
            </w:tcMar>
            <w:vAlign w:val="center"/>
          </w:tcPr>
          <w:p w14:paraId="44FF4B00" w14:textId="77777777" w:rsidR="009A0641" w:rsidRPr="00A612A6" w:rsidRDefault="00000000">
            <w:pPr>
              <w:rPr>
                <w:lang w:val="en-US"/>
              </w:rPr>
            </w:pPr>
            <w:r w:rsidRPr="00A612A6">
              <w:rPr>
                <w:rFonts w:ascii="Calibri" w:eastAsia="Calibri" w:hAnsi="Calibri" w:cs="Calibri"/>
                <w:color w:val="000000"/>
                <w:sz w:val="18"/>
                <w:szCs w:val="18"/>
                <w:lang w:val="en-US"/>
              </w:rPr>
              <w:t>Differences between development and evaluation data.</w:t>
            </w:r>
          </w:p>
        </w:tc>
        <w:tc>
          <w:tcPr>
            <w:tcW w:w="1000" w:type="dxa"/>
            <w:tcMar>
              <w:top w:w="60" w:type="dxa"/>
              <w:left w:w="80" w:type="dxa"/>
              <w:bottom w:w="60" w:type="dxa"/>
              <w:right w:w="80" w:type="dxa"/>
            </w:tcMar>
            <w:vAlign w:val="center"/>
          </w:tcPr>
          <w:p w14:paraId="10ED292D" w14:textId="77777777" w:rsidR="009A0641" w:rsidRDefault="00000000">
            <w:r>
              <w:rPr>
                <w:rFonts w:ascii="Calibri" w:eastAsia="Calibri" w:hAnsi="Calibri" w:cs="Calibri"/>
                <w:b/>
                <w:bCs/>
                <w:color w:val="808080"/>
                <w:sz w:val="18"/>
                <w:szCs w:val="18"/>
              </w:rPr>
              <w:t>N/A</w:t>
            </w:r>
          </w:p>
        </w:tc>
        <w:tc>
          <w:tcPr>
            <w:tcW w:w="2600" w:type="dxa"/>
            <w:tcMar>
              <w:top w:w="60" w:type="dxa"/>
              <w:left w:w="80" w:type="dxa"/>
              <w:bottom w:w="60" w:type="dxa"/>
              <w:right w:w="80" w:type="dxa"/>
            </w:tcMar>
            <w:vAlign w:val="center"/>
          </w:tcPr>
          <w:p w14:paraId="75516595"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4EB2F4D9" w14:textId="77777777" w:rsidR="009A0641" w:rsidRPr="00A612A6" w:rsidRDefault="00000000">
            <w:pPr>
              <w:rPr>
                <w:lang w:val="en-US"/>
              </w:rPr>
            </w:pPr>
            <w:r w:rsidRPr="00A612A6">
              <w:rPr>
                <w:rFonts w:ascii="Calibri" w:eastAsia="Calibri" w:hAnsi="Calibri" w:cs="Calibri"/>
                <w:color w:val="000000"/>
                <w:sz w:val="18"/>
                <w:szCs w:val="18"/>
                <w:lang w:val="en-US"/>
              </w:rPr>
              <w:t>No separate evaluation dataset; all performance is internally cross-validated.</w:t>
            </w:r>
          </w:p>
        </w:tc>
      </w:tr>
      <w:tr w:rsidR="009A0641" w14:paraId="35973B8B" w14:textId="77777777">
        <w:tc>
          <w:tcPr>
            <w:tcW w:w="10440" w:type="dxa"/>
            <w:gridSpan w:val="5"/>
            <w:shd w:val="clear" w:color="auto" w:fill="D9E2F3"/>
            <w:tcMar>
              <w:top w:w="60" w:type="dxa"/>
              <w:left w:w="80" w:type="dxa"/>
              <w:bottom w:w="60" w:type="dxa"/>
              <w:right w:w="80" w:type="dxa"/>
            </w:tcMar>
          </w:tcPr>
          <w:p w14:paraId="2A3E5D8A" w14:textId="77777777" w:rsidR="009A0641" w:rsidRDefault="00000000">
            <w:r>
              <w:rPr>
                <w:rFonts w:ascii="Calibri" w:eastAsia="Calibri" w:hAnsi="Calibri" w:cs="Calibri"/>
                <w:b/>
                <w:bCs/>
                <w:sz w:val="19"/>
                <w:szCs w:val="19"/>
              </w:rPr>
              <w:t>Methods — Ethical Approval</w:t>
            </w:r>
          </w:p>
        </w:tc>
      </w:tr>
      <w:tr w:rsidR="009A0641" w:rsidRPr="008E3EF8" w14:paraId="55929463" w14:textId="77777777">
        <w:tc>
          <w:tcPr>
            <w:tcW w:w="700" w:type="dxa"/>
            <w:tcMar>
              <w:top w:w="60" w:type="dxa"/>
              <w:left w:w="80" w:type="dxa"/>
              <w:bottom w:w="60" w:type="dxa"/>
              <w:right w:w="80" w:type="dxa"/>
            </w:tcMar>
            <w:vAlign w:val="center"/>
          </w:tcPr>
          <w:p w14:paraId="05D4171F" w14:textId="77777777" w:rsidR="009A0641" w:rsidRDefault="00000000">
            <w:r>
              <w:rPr>
                <w:rFonts w:ascii="Calibri" w:eastAsia="Calibri" w:hAnsi="Calibri" w:cs="Calibri"/>
                <w:b/>
                <w:bCs/>
                <w:color w:val="000000"/>
                <w:sz w:val="18"/>
                <w:szCs w:val="18"/>
              </w:rPr>
              <w:t>17</w:t>
            </w:r>
          </w:p>
        </w:tc>
        <w:tc>
          <w:tcPr>
            <w:tcW w:w="3600" w:type="dxa"/>
            <w:tcMar>
              <w:top w:w="60" w:type="dxa"/>
              <w:left w:w="80" w:type="dxa"/>
              <w:bottom w:w="60" w:type="dxa"/>
              <w:right w:w="80" w:type="dxa"/>
            </w:tcMar>
            <w:vAlign w:val="center"/>
          </w:tcPr>
          <w:p w14:paraId="3487A8A6" w14:textId="77777777" w:rsidR="009A0641" w:rsidRPr="00A612A6" w:rsidRDefault="00000000">
            <w:pPr>
              <w:rPr>
                <w:lang w:val="en-US"/>
              </w:rPr>
            </w:pPr>
            <w:r w:rsidRPr="00A612A6">
              <w:rPr>
                <w:rFonts w:ascii="Calibri" w:eastAsia="Calibri" w:hAnsi="Calibri" w:cs="Calibri"/>
                <w:color w:val="000000"/>
                <w:sz w:val="18"/>
                <w:szCs w:val="18"/>
                <w:lang w:val="en-US"/>
              </w:rPr>
              <w:t>Name of IRB/ethics committee; informed consent or waiver.</w:t>
            </w:r>
          </w:p>
        </w:tc>
        <w:tc>
          <w:tcPr>
            <w:tcW w:w="1000" w:type="dxa"/>
            <w:tcMar>
              <w:top w:w="60" w:type="dxa"/>
              <w:left w:w="80" w:type="dxa"/>
              <w:bottom w:w="60" w:type="dxa"/>
              <w:right w:w="80" w:type="dxa"/>
            </w:tcMar>
            <w:vAlign w:val="center"/>
          </w:tcPr>
          <w:p w14:paraId="535DBE79"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4E60FD73" w14:textId="77777777" w:rsidR="009A0641" w:rsidRPr="00A612A6" w:rsidRDefault="00000000">
            <w:pPr>
              <w:rPr>
                <w:lang w:val="en-US"/>
              </w:rPr>
            </w:pPr>
            <w:r>
              <w:rPr>
                <w:rFonts w:ascii="Calibri" w:eastAsia="Calibri" w:hAnsi="Calibri" w:cs="Calibri"/>
                <w:color w:val="FF0000"/>
                <w:sz w:val="18"/>
                <w:szCs w:val="18"/>
                <w:lang w:val="en-US"/>
              </w:rPr>
              <w:t>Manuscript — Ethics approval and consent to participate (approval number and date given; name of the board withheld for blinded review); board name and parent-study name on the title page (double-blind policy)</w:t>
            </w:r>
          </w:p>
        </w:tc>
        <w:tc>
          <w:tcPr>
            <w:tcW w:w="2540" w:type="dxa"/>
            <w:tcMar>
              <w:top w:w="60" w:type="dxa"/>
              <w:left w:w="80" w:type="dxa"/>
              <w:bottom w:w="60" w:type="dxa"/>
              <w:right w:w="80" w:type="dxa"/>
            </w:tcMar>
            <w:vAlign w:val="center"/>
          </w:tcPr>
          <w:p w14:paraId="79E80847" w14:textId="77777777" w:rsidR="009A0641" w:rsidRPr="00A612A6" w:rsidRDefault="00000000">
            <w:pPr>
              <w:rPr>
                <w:lang w:val="en-US"/>
              </w:rPr>
            </w:pPr>
            <w:r>
              <w:rPr>
                <w:rFonts w:ascii="Calibri" w:eastAsia="Calibri" w:hAnsi="Calibri" w:cs="Calibri"/>
                <w:color w:val="FF0000"/>
                <w:sz w:val="18"/>
                <w:szCs w:val="18"/>
                <w:lang w:val="en-US"/>
              </w:rPr>
              <w:t>The parent prospective study was approved by the institutional ethics board of the national research oncology center where the patients were treated (approval No. 051, 24 April 2024); all participants gave written informed consent; data were deidentified before analysis. The present study used only retrospectively analyzed, deidentified clinical data derived from this cohort. (Reviewer 1, Comment 3; Reviewer 2, Round 2, Comment 6)</w:t>
            </w:r>
          </w:p>
        </w:tc>
      </w:tr>
      <w:tr w:rsidR="009A0641" w14:paraId="6451EEB6" w14:textId="77777777">
        <w:tc>
          <w:tcPr>
            <w:tcW w:w="10440" w:type="dxa"/>
            <w:gridSpan w:val="5"/>
            <w:shd w:val="clear" w:color="auto" w:fill="D9E2F3"/>
            <w:tcMar>
              <w:top w:w="60" w:type="dxa"/>
              <w:left w:w="80" w:type="dxa"/>
              <w:bottom w:w="60" w:type="dxa"/>
              <w:right w:w="80" w:type="dxa"/>
            </w:tcMar>
          </w:tcPr>
          <w:p w14:paraId="735378E5" w14:textId="77777777" w:rsidR="009A0641" w:rsidRDefault="00000000">
            <w:r>
              <w:rPr>
                <w:rFonts w:ascii="Calibri" w:eastAsia="Calibri" w:hAnsi="Calibri" w:cs="Calibri"/>
                <w:b/>
                <w:bCs/>
                <w:sz w:val="19"/>
                <w:szCs w:val="19"/>
              </w:rPr>
              <w:t>Open Science</w:t>
            </w:r>
          </w:p>
        </w:tc>
      </w:tr>
      <w:tr w:rsidR="009A0641" w:rsidRPr="00A612A6" w14:paraId="767BB3E3" w14:textId="77777777">
        <w:tc>
          <w:tcPr>
            <w:tcW w:w="700" w:type="dxa"/>
            <w:tcMar>
              <w:top w:w="60" w:type="dxa"/>
              <w:left w:w="80" w:type="dxa"/>
              <w:bottom w:w="60" w:type="dxa"/>
              <w:right w:w="80" w:type="dxa"/>
            </w:tcMar>
            <w:vAlign w:val="center"/>
          </w:tcPr>
          <w:p w14:paraId="363FB055" w14:textId="77777777" w:rsidR="009A0641" w:rsidRDefault="00000000">
            <w:r>
              <w:rPr>
                <w:rFonts w:ascii="Calibri" w:eastAsia="Calibri" w:hAnsi="Calibri" w:cs="Calibri"/>
                <w:b/>
                <w:bCs/>
                <w:color w:val="000000"/>
                <w:sz w:val="18"/>
                <w:szCs w:val="18"/>
              </w:rPr>
              <w:t>18a</w:t>
            </w:r>
          </w:p>
        </w:tc>
        <w:tc>
          <w:tcPr>
            <w:tcW w:w="3600" w:type="dxa"/>
            <w:tcMar>
              <w:top w:w="60" w:type="dxa"/>
              <w:left w:w="80" w:type="dxa"/>
              <w:bottom w:w="60" w:type="dxa"/>
              <w:right w:w="80" w:type="dxa"/>
            </w:tcMar>
            <w:vAlign w:val="center"/>
          </w:tcPr>
          <w:p w14:paraId="445C7C27" w14:textId="77777777" w:rsidR="009A0641" w:rsidRPr="00A612A6" w:rsidRDefault="00000000">
            <w:pPr>
              <w:rPr>
                <w:lang w:val="en-US"/>
              </w:rPr>
            </w:pPr>
            <w:r w:rsidRPr="00A612A6">
              <w:rPr>
                <w:rFonts w:ascii="Calibri" w:eastAsia="Calibri" w:hAnsi="Calibri" w:cs="Calibri"/>
                <w:color w:val="000000"/>
                <w:sz w:val="18"/>
                <w:szCs w:val="18"/>
                <w:lang w:val="en-US"/>
              </w:rPr>
              <w:t>Funding source and role of funders.</w:t>
            </w:r>
          </w:p>
        </w:tc>
        <w:tc>
          <w:tcPr>
            <w:tcW w:w="1000" w:type="dxa"/>
            <w:tcMar>
              <w:top w:w="60" w:type="dxa"/>
              <w:left w:w="80" w:type="dxa"/>
              <w:bottom w:w="60" w:type="dxa"/>
              <w:right w:w="80" w:type="dxa"/>
            </w:tcMar>
            <w:vAlign w:val="center"/>
          </w:tcPr>
          <w:p w14:paraId="2B13C4C1" w14:textId="77777777" w:rsidR="009A0641" w:rsidRDefault="00000000">
            <w:r>
              <w:rPr>
                <w:b/>
                <w:color w:val="1E7B34"/>
              </w:rPr>
              <w:t>Reported</w:t>
            </w:r>
          </w:p>
        </w:tc>
        <w:tc>
          <w:tcPr>
            <w:tcW w:w="2600" w:type="dxa"/>
            <w:tcMar>
              <w:top w:w="60" w:type="dxa"/>
              <w:left w:w="80" w:type="dxa"/>
              <w:bottom w:w="60" w:type="dxa"/>
              <w:right w:w="80" w:type="dxa"/>
            </w:tcMar>
            <w:vAlign w:val="center"/>
          </w:tcPr>
          <w:p w14:paraId="306FD8C3" w14:textId="77777777" w:rsidR="009A0641" w:rsidRDefault="00000000">
            <w:r>
              <w:t>Title page</w:t>
            </w:r>
          </w:p>
        </w:tc>
        <w:tc>
          <w:tcPr>
            <w:tcW w:w="2540" w:type="dxa"/>
            <w:tcMar>
              <w:top w:w="60" w:type="dxa"/>
              <w:left w:w="80" w:type="dxa"/>
              <w:bottom w:w="60" w:type="dxa"/>
              <w:right w:w="80" w:type="dxa"/>
            </w:tcMar>
            <w:vAlign w:val="center"/>
          </w:tcPr>
          <w:p w14:paraId="4DDB709A" w14:textId="77777777" w:rsidR="009A0641" w:rsidRPr="00A612A6" w:rsidRDefault="00000000">
            <w:pPr>
              <w:rPr>
                <w:lang w:val="en-US"/>
              </w:rPr>
            </w:pPr>
            <w:r w:rsidRPr="00A612A6">
              <w:rPr>
                <w:lang w:val="en-US"/>
              </w:rPr>
              <w:t xml:space="preserve">Reported on the separate title page (Acknowledgments), </w:t>
            </w:r>
            <w:r w:rsidRPr="00A612A6">
              <w:rPr>
                <w:lang w:val="en-US"/>
              </w:rPr>
              <w:lastRenderedPageBreak/>
              <w:t>submitted apart from this blinded manuscript per the journal's double-blind peer-review policy.</w:t>
            </w:r>
          </w:p>
        </w:tc>
      </w:tr>
      <w:tr w:rsidR="009A0641" w:rsidRPr="00A612A6" w14:paraId="6D86C1FB" w14:textId="77777777">
        <w:tc>
          <w:tcPr>
            <w:tcW w:w="700" w:type="dxa"/>
            <w:tcMar>
              <w:top w:w="60" w:type="dxa"/>
              <w:left w:w="80" w:type="dxa"/>
              <w:bottom w:w="60" w:type="dxa"/>
              <w:right w:w="80" w:type="dxa"/>
            </w:tcMar>
            <w:vAlign w:val="center"/>
          </w:tcPr>
          <w:p w14:paraId="02B0F38B" w14:textId="77777777" w:rsidR="009A0641" w:rsidRDefault="00000000">
            <w:r>
              <w:rPr>
                <w:rFonts w:ascii="Calibri" w:eastAsia="Calibri" w:hAnsi="Calibri" w:cs="Calibri"/>
                <w:b/>
                <w:bCs/>
                <w:color w:val="000000"/>
                <w:sz w:val="18"/>
                <w:szCs w:val="18"/>
              </w:rPr>
              <w:lastRenderedPageBreak/>
              <w:t>18b</w:t>
            </w:r>
          </w:p>
        </w:tc>
        <w:tc>
          <w:tcPr>
            <w:tcW w:w="3600" w:type="dxa"/>
            <w:tcMar>
              <w:top w:w="60" w:type="dxa"/>
              <w:left w:w="80" w:type="dxa"/>
              <w:bottom w:w="60" w:type="dxa"/>
              <w:right w:w="80" w:type="dxa"/>
            </w:tcMar>
            <w:vAlign w:val="center"/>
          </w:tcPr>
          <w:p w14:paraId="597BDA82" w14:textId="77777777" w:rsidR="009A0641" w:rsidRPr="00A612A6" w:rsidRDefault="00000000">
            <w:pPr>
              <w:rPr>
                <w:lang w:val="en-US"/>
              </w:rPr>
            </w:pPr>
            <w:r w:rsidRPr="00A612A6">
              <w:rPr>
                <w:rFonts w:ascii="Calibri" w:eastAsia="Calibri" w:hAnsi="Calibri" w:cs="Calibri"/>
                <w:color w:val="000000"/>
                <w:sz w:val="18"/>
                <w:szCs w:val="18"/>
                <w:lang w:val="en-US"/>
              </w:rPr>
              <w:t>Conflicts of interest for all authors.</w:t>
            </w:r>
          </w:p>
        </w:tc>
        <w:tc>
          <w:tcPr>
            <w:tcW w:w="1000" w:type="dxa"/>
            <w:tcMar>
              <w:top w:w="60" w:type="dxa"/>
              <w:left w:w="80" w:type="dxa"/>
              <w:bottom w:w="60" w:type="dxa"/>
              <w:right w:w="80" w:type="dxa"/>
            </w:tcMar>
            <w:vAlign w:val="center"/>
          </w:tcPr>
          <w:p w14:paraId="7F7AA436" w14:textId="77777777" w:rsidR="009A0641" w:rsidRDefault="00000000">
            <w:r>
              <w:rPr>
                <w:b/>
                <w:color w:val="1E7B34"/>
              </w:rPr>
              <w:t>Reported</w:t>
            </w:r>
          </w:p>
        </w:tc>
        <w:tc>
          <w:tcPr>
            <w:tcW w:w="2600" w:type="dxa"/>
            <w:tcMar>
              <w:top w:w="60" w:type="dxa"/>
              <w:left w:w="80" w:type="dxa"/>
              <w:bottom w:w="60" w:type="dxa"/>
              <w:right w:w="80" w:type="dxa"/>
            </w:tcMar>
            <w:vAlign w:val="center"/>
          </w:tcPr>
          <w:p w14:paraId="1EFAAD8C" w14:textId="77777777" w:rsidR="009A0641" w:rsidRDefault="00000000">
            <w:r>
              <w:t>Title page</w:t>
            </w:r>
          </w:p>
        </w:tc>
        <w:tc>
          <w:tcPr>
            <w:tcW w:w="2540" w:type="dxa"/>
            <w:tcMar>
              <w:top w:w="60" w:type="dxa"/>
              <w:left w:w="80" w:type="dxa"/>
              <w:bottom w:w="60" w:type="dxa"/>
              <w:right w:w="80" w:type="dxa"/>
            </w:tcMar>
            <w:vAlign w:val="center"/>
          </w:tcPr>
          <w:p w14:paraId="11E08624" w14:textId="77777777" w:rsidR="009A0641" w:rsidRPr="00A612A6" w:rsidRDefault="00000000">
            <w:pPr>
              <w:rPr>
                <w:lang w:val="en-US"/>
              </w:rPr>
            </w:pPr>
            <w:r w:rsidRPr="00A612A6">
              <w:rPr>
                <w:lang w:val="en-US"/>
              </w:rPr>
              <w:t>Reported on the separate title page, submitted apart from this blinded manuscript per the journal's double-blind peer-review policy.</w:t>
            </w:r>
          </w:p>
        </w:tc>
      </w:tr>
      <w:tr w:rsidR="009A0641" w:rsidRPr="00A612A6" w14:paraId="61C4DA0F" w14:textId="77777777">
        <w:tc>
          <w:tcPr>
            <w:tcW w:w="700" w:type="dxa"/>
            <w:tcMar>
              <w:top w:w="60" w:type="dxa"/>
              <w:left w:w="80" w:type="dxa"/>
              <w:bottom w:w="60" w:type="dxa"/>
              <w:right w:w="80" w:type="dxa"/>
            </w:tcMar>
            <w:vAlign w:val="center"/>
          </w:tcPr>
          <w:p w14:paraId="65CCAF25" w14:textId="77777777" w:rsidR="009A0641" w:rsidRDefault="00000000">
            <w:r>
              <w:rPr>
                <w:rFonts w:ascii="Calibri" w:eastAsia="Calibri" w:hAnsi="Calibri" w:cs="Calibri"/>
                <w:b/>
                <w:bCs/>
                <w:color w:val="000000"/>
                <w:sz w:val="18"/>
                <w:szCs w:val="18"/>
              </w:rPr>
              <w:t>18c</w:t>
            </w:r>
          </w:p>
        </w:tc>
        <w:tc>
          <w:tcPr>
            <w:tcW w:w="3600" w:type="dxa"/>
            <w:tcMar>
              <w:top w:w="60" w:type="dxa"/>
              <w:left w:w="80" w:type="dxa"/>
              <w:bottom w:w="60" w:type="dxa"/>
              <w:right w:w="80" w:type="dxa"/>
            </w:tcMar>
            <w:vAlign w:val="center"/>
          </w:tcPr>
          <w:p w14:paraId="78680D1B" w14:textId="77777777" w:rsidR="009A0641" w:rsidRPr="00A612A6" w:rsidRDefault="00000000">
            <w:pPr>
              <w:rPr>
                <w:lang w:val="en-US"/>
              </w:rPr>
            </w:pPr>
            <w:r w:rsidRPr="00A612A6">
              <w:rPr>
                <w:rFonts w:ascii="Calibri" w:eastAsia="Calibri" w:hAnsi="Calibri" w:cs="Calibri"/>
                <w:color w:val="000000"/>
                <w:sz w:val="18"/>
                <w:szCs w:val="18"/>
                <w:lang w:val="en-US"/>
              </w:rPr>
              <w:t>Where study protocol can be accessed, or that none was prepared.</w:t>
            </w:r>
          </w:p>
        </w:tc>
        <w:tc>
          <w:tcPr>
            <w:tcW w:w="1000" w:type="dxa"/>
            <w:tcMar>
              <w:top w:w="60" w:type="dxa"/>
              <w:left w:w="80" w:type="dxa"/>
              <w:bottom w:w="60" w:type="dxa"/>
              <w:right w:w="80" w:type="dxa"/>
            </w:tcMar>
            <w:vAlign w:val="center"/>
          </w:tcPr>
          <w:p w14:paraId="4ACBCFE0"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07F2A303" w14:textId="77777777" w:rsidR="009A0641" w:rsidRDefault="00000000">
            <w:r>
              <w:rPr>
                <w:rFonts w:ascii="Calibri" w:eastAsia="Calibri" w:hAnsi="Calibri" w:cs="Calibri"/>
                <w:color w:val="000000"/>
                <w:sz w:val="18"/>
                <w:szCs w:val="18"/>
              </w:rPr>
              <w:t>Study design and participants</w:t>
            </w:r>
          </w:p>
        </w:tc>
        <w:tc>
          <w:tcPr>
            <w:tcW w:w="2540" w:type="dxa"/>
            <w:tcMar>
              <w:top w:w="60" w:type="dxa"/>
              <w:left w:w="80" w:type="dxa"/>
              <w:bottom w:w="60" w:type="dxa"/>
              <w:right w:w="80" w:type="dxa"/>
            </w:tcMar>
            <w:vAlign w:val="center"/>
          </w:tcPr>
          <w:p w14:paraId="02646D61" w14:textId="68F30F14" w:rsidR="009A0641" w:rsidRPr="00A612A6" w:rsidRDefault="008E3EF8">
            <w:pPr>
              <w:rPr>
                <w:lang w:val="en-US"/>
              </w:rPr>
            </w:pPr>
            <w:r w:rsidRPr="008E3EF8">
              <w:rPr>
                <w:rFonts w:ascii="Calibri" w:eastAsia="Calibri" w:hAnsi="Calibri" w:cs="Calibri"/>
                <w:color w:val="007A00"/>
                <w:sz w:val="18"/>
                <w:szCs w:val="18"/>
              </w:rPr>
              <w:t>The protocol for the parent study has been published previously (reference 4 in the manuscript). No separate prespecified protocol was prepared for the present retrospective exploratory prediction-model analysis.</w:t>
            </w:r>
          </w:p>
        </w:tc>
      </w:tr>
      <w:tr w:rsidR="009A0641" w:rsidRPr="00A612A6" w14:paraId="459FE740" w14:textId="77777777">
        <w:tc>
          <w:tcPr>
            <w:tcW w:w="700" w:type="dxa"/>
            <w:tcMar>
              <w:top w:w="60" w:type="dxa"/>
              <w:left w:w="80" w:type="dxa"/>
              <w:bottom w:w="60" w:type="dxa"/>
              <w:right w:w="80" w:type="dxa"/>
            </w:tcMar>
            <w:vAlign w:val="center"/>
          </w:tcPr>
          <w:p w14:paraId="57EE57A7" w14:textId="77777777" w:rsidR="009A0641" w:rsidRDefault="00000000">
            <w:r>
              <w:rPr>
                <w:rFonts w:ascii="Calibri" w:eastAsia="Calibri" w:hAnsi="Calibri" w:cs="Calibri"/>
                <w:b/>
                <w:bCs/>
                <w:color w:val="000000"/>
                <w:sz w:val="18"/>
                <w:szCs w:val="18"/>
              </w:rPr>
              <w:t>18d</w:t>
            </w:r>
          </w:p>
        </w:tc>
        <w:tc>
          <w:tcPr>
            <w:tcW w:w="3600" w:type="dxa"/>
            <w:tcMar>
              <w:top w:w="60" w:type="dxa"/>
              <w:left w:w="80" w:type="dxa"/>
              <w:bottom w:w="60" w:type="dxa"/>
              <w:right w:w="80" w:type="dxa"/>
            </w:tcMar>
            <w:vAlign w:val="center"/>
          </w:tcPr>
          <w:p w14:paraId="6DA58937" w14:textId="77777777" w:rsidR="009A0641" w:rsidRPr="00A612A6" w:rsidRDefault="00000000">
            <w:pPr>
              <w:rPr>
                <w:lang w:val="en-US"/>
              </w:rPr>
            </w:pPr>
            <w:r w:rsidRPr="00A612A6">
              <w:rPr>
                <w:rFonts w:ascii="Calibri" w:eastAsia="Calibri" w:hAnsi="Calibri" w:cs="Calibri"/>
                <w:color w:val="000000"/>
                <w:sz w:val="18"/>
                <w:szCs w:val="18"/>
                <w:lang w:val="en-US"/>
              </w:rPr>
              <w:t>Registration information, or that the study was not registered.</w:t>
            </w:r>
          </w:p>
        </w:tc>
        <w:tc>
          <w:tcPr>
            <w:tcW w:w="1000" w:type="dxa"/>
            <w:tcMar>
              <w:top w:w="60" w:type="dxa"/>
              <w:left w:w="80" w:type="dxa"/>
              <w:bottom w:w="60" w:type="dxa"/>
              <w:right w:w="80" w:type="dxa"/>
            </w:tcMar>
            <w:vAlign w:val="center"/>
          </w:tcPr>
          <w:p w14:paraId="028E043C" w14:textId="77777777" w:rsidR="009A0641" w:rsidRDefault="00000000">
            <w:r>
              <w:rPr>
                <w:rFonts w:ascii="Calibri" w:eastAsia="Calibri" w:hAnsi="Calibri" w:cs="Calibri"/>
                <w:b/>
                <w:bCs/>
                <w:color w:val="C00000"/>
                <w:sz w:val="18"/>
                <w:szCs w:val="18"/>
              </w:rPr>
              <w:t>Not reported</w:t>
            </w:r>
          </w:p>
        </w:tc>
        <w:tc>
          <w:tcPr>
            <w:tcW w:w="2600" w:type="dxa"/>
            <w:tcMar>
              <w:top w:w="60" w:type="dxa"/>
              <w:left w:w="80" w:type="dxa"/>
              <w:bottom w:w="60" w:type="dxa"/>
              <w:right w:w="80" w:type="dxa"/>
            </w:tcMar>
            <w:vAlign w:val="center"/>
          </w:tcPr>
          <w:p w14:paraId="1D453203"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029C6A1F" w14:textId="77777777" w:rsidR="009A0641" w:rsidRPr="00A612A6" w:rsidRDefault="00000000">
            <w:pPr>
              <w:rPr>
                <w:lang w:val="en-US"/>
              </w:rPr>
            </w:pPr>
            <w:r>
              <w:rPr>
                <w:rFonts w:ascii="Calibri" w:eastAsia="Calibri" w:hAnsi="Calibri" w:cs="Calibri"/>
                <w:color w:val="0070C0"/>
                <w:sz w:val="18"/>
                <w:szCs w:val="18"/>
                <w:lang w:val="en-US"/>
              </w:rPr>
              <w:t>Registration status not yet supplied by the study team; to be stated on the title page / submission form, not in the blinded manuscript.</w:t>
            </w:r>
          </w:p>
        </w:tc>
      </w:tr>
      <w:tr w:rsidR="009A0641" w:rsidRPr="00A612A6" w14:paraId="57C594C7" w14:textId="77777777">
        <w:tc>
          <w:tcPr>
            <w:tcW w:w="700" w:type="dxa"/>
            <w:tcMar>
              <w:top w:w="60" w:type="dxa"/>
              <w:left w:w="80" w:type="dxa"/>
              <w:bottom w:w="60" w:type="dxa"/>
              <w:right w:w="80" w:type="dxa"/>
            </w:tcMar>
            <w:vAlign w:val="center"/>
          </w:tcPr>
          <w:p w14:paraId="227760BD" w14:textId="77777777" w:rsidR="009A0641" w:rsidRDefault="00000000">
            <w:r>
              <w:rPr>
                <w:rFonts w:ascii="Calibri" w:eastAsia="Calibri" w:hAnsi="Calibri" w:cs="Calibri"/>
                <w:b/>
                <w:bCs/>
                <w:color w:val="000000"/>
                <w:sz w:val="18"/>
                <w:szCs w:val="18"/>
              </w:rPr>
              <w:t>18e</w:t>
            </w:r>
          </w:p>
        </w:tc>
        <w:tc>
          <w:tcPr>
            <w:tcW w:w="3600" w:type="dxa"/>
            <w:tcMar>
              <w:top w:w="60" w:type="dxa"/>
              <w:left w:w="80" w:type="dxa"/>
              <w:bottom w:w="60" w:type="dxa"/>
              <w:right w:w="80" w:type="dxa"/>
            </w:tcMar>
            <w:vAlign w:val="center"/>
          </w:tcPr>
          <w:p w14:paraId="58C6FF03" w14:textId="77777777" w:rsidR="009A0641" w:rsidRDefault="00000000">
            <w:r>
              <w:rPr>
                <w:rFonts w:ascii="Calibri" w:eastAsia="Calibri" w:hAnsi="Calibri" w:cs="Calibri"/>
                <w:color w:val="000000"/>
                <w:sz w:val="18"/>
                <w:szCs w:val="18"/>
              </w:rPr>
              <w:t>Availability of study data.</w:t>
            </w:r>
          </w:p>
        </w:tc>
        <w:tc>
          <w:tcPr>
            <w:tcW w:w="1000" w:type="dxa"/>
            <w:tcMar>
              <w:top w:w="60" w:type="dxa"/>
              <w:left w:w="80" w:type="dxa"/>
              <w:bottom w:w="60" w:type="dxa"/>
              <w:right w:w="80" w:type="dxa"/>
            </w:tcMar>
            <w:vAlign w:val="center"/>
          </w:tcPr>
          <w:p w14:paraId="6531F373" w14:textId="77777777" w:rsidR="009A0641" w:rsidRDefault="00000000">
            <w:r>
              <w:rPr>
                <w:b/>
                <w:color w:val="1E7B34"/>
              </w:rPr>
              <w:t>Reported</w:t>
            </w:r>
          </w:p>
        </w:tc>
        <w:tc>
          <w:tcPr>
            <w:tcW w:w="2600" w:type="dxa"/>
            <w:tcMar>
              <w:top w:w="60" w:type="dxa"/>
              <w:left w:w="80" w:type="dxa"/>
              <w:bottom w:w="60" w:type="dxa"/>
              <w:right w:w="80" w:type="dxa"/>
            </w:tcMar>
            <w:vAlign w:val="center"/>
          </w:tcPr>
          <w:p w14:paraId="4855690E" w14:textId="77777777" w:rsidR="009A0641" w:rsidRPr="00A612A6" w:rsidRDefault="00000000">
            <w:pPr>
              <w:rPr>
                <w:lang w:val="en-US"/>
              </w:rPr>
            </w:pPr>
            <w:r>
              <w:rPr>
                <w:lang w:val="en-US"/>
              </w:rPr>
              <w:t>Data and code availability</w:t>
            </w:r>
          </w:p>
        </w:tc>
        <w:tc>
          <w:tcPr>
            <w:tcW w:w="2540" w:type="dxa"/>
            <w:tcMar>
              <w:top w:w="60" w:type="dxa"/>
              <w:left w:w="80" w:type="dxa"/>
              <w:bottom w:w="60" w:type="dxa"/>
              <w:right w:w="80" w:type="dxa"/>
            </w:tcMar>
            <w:vAlign w:val="center"/>
          </w:tcPr>
          <w:p w14:paraId="0FAC159B" w14:textId="77777777" w:rsidR="009A0641" w:rsidRPr="00A612A6" w:rsidRDefault="00000000">
            <w:pPr>
              <w:rPr>
                <w:lang w:val="en-US"/>
              </w:rPr>
            </w:pPr>
            <w:r w:rsidRPr="00A612A6">
              <w:rPr>
                <w:lang w:val="en-US"/>
              </w:rPr>
              <w:t>The de-identified patient-level dataset analyzed in this study is available from the corresponding author on reasonable request, alongside the analysis code (item 18f).</w:t>
            </w:r>
          </w:p>
        </w:tc>
      </w:tr>
      <w:tr w:rsidR="009A0641" w:rsidRPr="00A612A6" w14:paraId="130A5662" w14:textId="77777777">
        <w:tc>
          <w:tcPr>
            <w:tcW w:w="700" w:type="dxa"/>
            <w:tcMar>
              <w:top w:w="60" w:type="dxa"/>
              <w:left w:w="80" w:type="dxa"/>
              <w:bottom w:w="60" w:type="dxa"/>
              <w:right w:w="80" w:type="dxa"/>
            </w:tcMar>
            <w:vAlign w:val="center"/>
          </w:tcPr>
          <w:p w14:paraId="51E97C58" w14:textId="77777777" w:rsidR="009A0641" w:rsidRDefault="00000000">
            <w:r>
              <w:rPr>
                <w:rFonts w:ascii="Calibri" w:eastAsia="Calibri" w:hAnsi="Calibri" w:cs="Calibri"/>
                <w:b/>
                <w:bCs/>
                <w:color w:val="000000"/>
                <w:sz w:val="18"/>
                <w:szCs w:val="18"/>
              </w:rPr>
              <w:t>18f</w:t>
            </w:r>
          </w:p>
        </w:tc>
        <w:tc>
          <w:tcPr>
            <w:tcW w:w="3600" w:type="dxa"/>
            <w:tcMar>
              <w:top w:w="60" w:type="dxa"/>
              <w:left w:w="80" w:type="dxa"/>
              <w:bottom w:w="60" w:type="dxa"/>
              <w:right w:w="80" w:type="dxa"/>
            </w:tcMar>
            <w:vAlign w:val="center"/>
          </w:tcPr>
          <w:p w14:paraId="055424F2" w14:textId="77777777" w:rsidR="009A0641" w:rsidRDefault="00000000">
            <w:r>
              <w:rPr>
                <w:rFonts w:ascii="Calibri" w:eastAsia="Calibri" w:hAnsi="Calibri" w:cs="Calibri"/>
                <w:color w:val="000000"/>
                <w:sz w:val="18"/>
                <w:szCs w:val="18"/>
              </w:rPr>
              <w:t>Availability of analytical code.</w:t>
            </w:r>
          </w:p>
        </w:tc>
        <w:tc>
          <w:tcPr>
            <w:tcW w:w="1000" w:type="dxa"/>
            <w:tcMar>
              <w:top w:w="60" w:type="dxa"/>
              <w:left w:w="80" w:type="dxa"/>
              <w:bottom w:w="60" w:type="dxa"/>
              <w:right w:w="80" w:type="dxa"/>
            </w:tcMar>
            <w:vAlign w:val="center"/>
          </w:tcPr>
          <w:p w14:paraId="081A1DC0" w14:textId="77777777" w:rsidR="009A0641" w:rsidRDefault="00000000">
            <w:r>
              <w:rPr>
                <w:b/>
                <w:color w:val="1E7B34"/>
              </w:rPr>
              <w:t>Reported</w:t>
            </w:r>
          </w:p>
        </w:tc>
        <w:tc>
          <w:tcPr>
            <w:tcW w:w="2600" w:type="dxa"/>
            <w:tcMar>
              <w:top w:w="60" w:type="dxa"/>
              <w:left w:w="80" w:type="dxa"/>
              <w:bottom w:w="60" w:type="dxa"/>
              <w:right w:w="80" w:type="dxa"/>
            </w:tcMar>
            <w:vAlign w:val="center"/>
          </w:tcPr>
          <w:p w14:paraId="6CF40D50" w14:textId="7742C73B" w:rsidR="009A0641" w:rsidRPr="00A612A6" w:rsidRDefault="00000000">
            <w:pPr>
              <w:rPr>
                <w:lang w:val="en-US"/>
              </w:rPr>
            </w:pPr>
            <w:r>
              <w:rPr>
                <w:lang w:val="en-US"/>
              </w:rPr>
              <w:t>Data and code availability</w:t>
            </w:r>
          </w:p>
        </w:tc>
        <w:tc>
          <w:tcPr>
            <w:tcW w:w="2540" w:type="dxa"/>
            <w:tcMar>
              <w:top w:w="60" w:type="dxa"/>
              <w:left w:w="80" w:type="dxa"/>
              <w:bottom w:w="60" w:type="dxa"/>
              <w:right w:w="80" w:type="dxa"/>
            </w:tcMar>
            <w:vAlign w:val="center"/>
          </w:tcPr>
          <w:p w14:paraId="69AFA99A" w14:textId="3FBB7A03" w:rsidR="009A0641" w:rsidRPr="00A612A6" w:rsidRDefault="00000000">
            <w:pPr>
              <w:rPr>
                <w:lang w:val="en-US"/>
              </w:rPr>
            </w:pPr>
            <w:r>
              <w:rPr>
                <w:color w:val="0070C0"/>
                <w:lang w:val="en-US"/>
              </w:rPr>
              <w:t>The analysis code (data preprocessing, cross-validation pipeline, bootstrap procedures, and figure generation) is available from the corresponding author on reasonable request.</w:t>
            </w:r>
          </w:p>
        </w:tc>
      </w:tr>
      <w:tr w:rsidR="009A0641" w14:paraId="4638CC71" w14:textId="77777777">
        <w:tc>
          <w:tcPr>
            <w:tcW w:w="10440" w:type="dxa"/>
            <w:gridSpan w:val="5"/>
            <w:shd w:val="clear" w:color="auto" w:fill="D9E2F3"/>
            <w:tcMar>
              <w:top w:w="60" w:type="dxa"/>
              <w:left w:w="80" w:type="dxa"/>
              <w:bottom w:w="60" w:type="dxa"/>
              <w:right w:w="80" w:type="dxa"/>
            </w:tcMar>
          </w:tcPr>
          <w:p w14:paraId="0EA0B47D" w14:textId="77777777" w:rsidR="009A0641" w:rsidRDefault="00000000">
            <w:r>
              <w:rPr>
                <w:rFonts w:ascii="Calibri" w:eastAsia="Calibri" w:hAnsi="Calibri" w:cs="Calibri"/>
                <w:b/>
                <w:bCs/>
                <w:sz w:val="19"/>
                <w:szCs w:val="19"/>
              </w:rPr>
              <w:t>Patient and Public Involvement</w:t>
            </w:r>
          </w:p>
        </w:tc>
      </w:tr>
      <w:tr w:rsidR="004738C8" w:rsidRPr="00A612A6" w14:paraId="4DB16300" w14:textId="77777777">
        <w:tc>
          <w:tcPr>
            <w:tcW w:w="700" w:type="dxa"/>
            <w:tcMar>
              <w:top w:w="60" w:type="dxa"/>
              <w:left w:w="80" w:type="dxa"/>
              <w:bottom w:w="60" w:type="dxa"/>
              <w:right w:w="80" w:type="dxa"/>
            </w:tcMar>
            <w:vAlign w:val="center"/>
          </w:tcPr>
          <w:p w14:paraId="0C07EB43" w14:textId="77777777" w:rsidR="004738C8" w:rsidRDefault="004738C8" w:rsidP="004738C8">
            <w:r>
              <w:rPr>
                <w:rFonts w:ascii="Calibri" w:eastAsia="Calibri" w:hAnsi="Calibri" w:cs="Calibri"/>
                <w:b/>
                <w:bCs/>
                <w:color w:val="000000"/>
                <w:sz w:val="18"/>
                <w:szCs w:val="18"/>
              </w:rPr>
              <w:t>19</w:t>
            </w:r>
          </w:p>
        </w:tc>
        <w:tc>
          <w:tcPr>
            <w:tcW w:w="3600" w:type="dxa"/>
            <w:tcMar>
              <w:top w:w="60" w:type="dxa"/>
              <w:left w:w="80" w:type="dxa"/>
              <w:bottom w:w="60" w:type="dxa"/>
              <w:right w:w="80" w:type="dxa"/>
            </w:tcMar>
            <w:vAlign w:val="center"/>
          </w:tcPr>
          <w:p w14:paraId="26D92582" w14:textId="77777777" w:rsidR="004738C8" w:rsidRPr="00A612A6" w:rsidRDefault="004738C8" w:rsidP="004738C8">
            <w:pPr>
              <w:rPr>
                <w:lang w:val="en-US"/>
              </w:rPr>
            </w:pPr>
            <w:r w:rsidRPr="00A612A6">
              <w:rPr>
                <w:rFonts w:ascii="Calibri" w:eastAsia="Calibri" w:hAnsi="Calibri" w:cs="Calibri"/>
                <w:color w:val="000000"/>
                <w:sz w:val="18"/>
                <w:szCs w:val="18"/>
                <w:lang w:val="en-US"/>
              </w:rPr>
              <w:t>PPI during design, conduct, reporting, interpretation, or dissemination, or none.</w:t>
            </w:r>
          </w:p>
        </w:tc>
        <w:tc>
          <w:tcPr>
            <w:tcW w:w="1000" w:type="dxa"/>
            <w:tcMar>
              <w:top w:w="60" w:type="dxa"/>
              <w:left w:w="80" w:type="dxa"/>
              <w:bottom w:w="60" w:type="dxa"/>
              <w:right w:w="80" w:type="dxa"/>
            </w:tcMar>
            <w:vAlign w:val="center"/>
          </w:tcPr>
          <w:p w14:paraId="7380C098" w14:textId="0FDD7968" w:rsidR="004738C8" w:rsidRDefault="004738C8" w:rsidP="004738C8">
            <w:r>
              <w:rPr>
                <w:b/>
                <w:color w:val="1E7B34"/>
              </w:rPr>
              <w:t>Reported</w:t>
            </w:r>
          </w:p>
        </w:tc>
        <w:tc>
          <w:tcPr>
            <w:tcW w:w="2600" w:type="dxa"/>
            <w:tcMar>
              <w:top w:w="60" w:type="dxa"/>
              <w:left w:w="80" w:type="dxa"/>
              <w:bottom w:w="60" w:type="dxa"/>
              <w:right w:w="80" w:type="dxa"/>
            </w:tcMar>
            <w:vAlign w:val="center"/>
          </w:tcPr>
          <w:p w14:paraId="2D69754A" w14:textId="45BE5415" w:rsidR="004738C8" w:rsidRPr="004738C8" w:rsidRDefault="004738C8" w:rsidP="004738C8">
            <w:pPr>
              <w:rPr>
                <w:lang w:val="en-US"/>
              </w:rPr>
            </w:pPr>
            <w:r>
              <w:rPr>
                <w:color w:val="0070C0"/>
                <w:lang w:val="en-US"/>
              </w:rPr>
              <w:t>Title page / submission form (not in the blinded manuscript, per the double-blind policy)</w:t>
            </w:r>
          </w:p>
        </w:tc>
        <w:tc>
          <w:tcPr>
            <w:tcW w:w="2540" w:type="dxa"/>
            <w:tcMar>
              <w:top w:w="60" w:type="dxa"/>
              <w:left w:w="80" w:type="dxa"/>
              <w:bottom w:w="60" w:type="dxa"/>
              <w:right w:w="80" w:type="dxa"/>
            </w:tcMar>
            <w:vAlign w:val="center"/>
          </w:tcPr>
          <w:p w14:paraId="41C56B47" w14:textId="262FF8FB" w:rsidR="004738C8" w:rsidRPr="00A612A6" w:rsidRDefault="004738C8" w:rsidP="004738C8">
            <w:pPr>
              <w:rPr>
                <w:lang w:val="en-US"/>
              </w:rPr>
            </w:pPr>
            <w:r w:rsidRPr="004738C8">
              <w:rPr>
                <w:rFonts w:ascii="Calibri" w:eastAsia="Calibri" w:hAnsi="Calibri" w:cs="Calibri"/>
                <w:color w:val="007A00"/>
                <w:sz w:val="18"/>
                <w:szCs w:val="18"/>
              </w:rPr>
              <w:t xml:space="preserve">No patient or public involvement occurred in the design, conduct, analysis, interpretation, reporting, or </w:t>
            </w:r>
            <w:r w:rsidRPr="004738C8">
              <w:rPr>
                <w:rFonts w:ascii="Calibri" w:eastAsia="Calibri" w:hAnsi="Calibri" w:cs="Calibri"/>
                <w:color w:val="007A00"/>
                <w:sz w:val="18"/>
                <w:szCs w:val="18"/>
              </w:rPr>
              <w:lastRenderedPageBreak/>
              <w:t>dissemination planning of the study.</w:t>
            </w:r>
          </w:p>
        </w:tc>
      </w:tr>
      <w:tr w:rsidR="009A0641" w14:paraId="2BB90AC7" w14:textId="77777777">
        <w:tc>
          <w:tcPr>
            <w:tcW w:w="10440" w:type="dxa"/>
            <w:gridSpan w:val="5"/>
            <w:shd w:val="clear" w:color="auto" w:fill="D9E2F3"/>
            <w:tcMar>
              <w:top w:w="60" w:type="dxa"/>
              <w:left w:w="80" w:type="dxa"/>
              <w:bottom w:w="60" w:type="dxa"/>
              <w:right w:w="80" w:type="dxa"/>
            </w:tcMar>
          </w:tcPr>
          <w:p w14:paraId="292FD988" w14:textId="77777777" w:rsidR="009A0641" w:rsidRDefault="00000000">
            <w:r>
              <w:rPr>
                <w:rFonts w:ascii="Calibri" w:eastAsia="Calibri" w:hAnsi="Calibri" w:cs="Calibri"/>
                <w:b/>
                <w:bCs/>
                <w:sz w:val="19"/>
                <w:szCs w:val="19"/>
              </w:rPr>
              <w:lastRenderedPageBreak/>
              <w:t>Results — Participants</w:t>
            </w:r>
          </w:p>
        </w:tc>
      </w:tr>
      <w:tr w:rsidR="009A0641" w14:paraId="59E90332" w14:textId="77777777">
        <w:tc>
          <w:tcPr>
            <w:tcW w:w="700" w:type="dxa"/>
            <w:tcMar>
              <w:top w:w="60" w:type="dxa"/>
              <w:left w:w="80" w:type="dxa"/>
              <w:bottom w:w="60" w:type="dxa"/>
              <w:right w:w="80" w:type="dxa"/>
            </w:tcMar>
            <w:vAlign w:val="center"/>
          </w:tcPr>
          <w:p w14:paraId="74DF3BFF" w14:textId="77777777" w:rsidR="009A0641" w:rsidRDefault="00000000">
            <w:r>
              <w:rPr>
                <w:rFonts w:ascii="Calibri" w:eastAsia="Calibri" w:hAnsi="Calibri" w:cs="Calibri"/>
                <w:b/>
                <w:bCs/>
                <w:color w:val="000000"/>
                <w:sz w:val="18"/>
                <w:szCs w:val="18"/>
              </w:rPr>
              <w:t>20a</w:t>
            </w:r>
          </w:p>
        </w:tc>
        <w:tc>
          <w:tcPr>
            <w:tcW w:w="3600" w:type="dxa"/>
            <w:tcMar>
              <w:top w:w="60" w:type="dxa"/>
              <w:left w:w="80" w:type="dxa"/>
              <w:bottom w:w="60" w:type="dxa"/>
              <w:right w:w="80" w:type="dxa"/>
            </w:tcMar>
            <w:vAlign w:val="center"/>
          </w:tcPr>
          <w:p w14:paraId="330D9F52" w14:textId="77777777" w:rsidR="009A0641" w:rsidRPr="00A612A6" w:rsidRDefault="00000000">
            <w:pPr>
              <w:rPr>
                <w:lang w:val="en-US"/>
              </w:rPr>
            </w:pPr>
            <w:r w:rsidRPr="00A612A6">
              <w:rPr>
                <w:rFonts w:ascii="Calibri" w:eastAsia="Calibri" w:hAnsi="Calibri" w:cs="Calibri"/>
                <w:color w:val="000000"/>
                <w:sz w:val="18"/>
                <w:szCs w:val="18"/>
                <w:lang w:val="en-US"/>
              </w:rPr>
              <w:t>Flow of participants, with/without outcome; follow-up summary if applicable.</w:t>
            </w:r>
          </w:p>
        </w:tc>
        <w:tc>
          <w:tcPr>
            <w:tcW w:w="1000" w:type="dxa"/>
            <w:tcMar>
              <w:top w:w="60" w:type="dxa"/>
              <w:left w:w="80" w:type="dxa"/>
              <w:bottom w:w="60" w:type="dxa"/>
              <w:right w:w="80" w:type="dxa"/>
            </w:tcMar>
            <w:vAlign w:val="center"/>
          </w:tcPr>
          <w:p w14:paraId="2CA5E608"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73768131" w14:textId="77777777" w:rsidR="009A0641" w:rsidRPr="00A612A6" w:rsidRDefault="00000000">
            <w:pPr>
              <w:rPr>
                <w:lang w:val="en-US"/>
              </w:rPr>
            </w:pPr>
            <w:r w:rsidRPr="00A612A6">
              <w:rPr>
                <w:rFonts w:ascii="Calibri" w:eastAsia="Calibri" w:hAnsi="Calibri" w:cs="Calibri"/>
                <w:color w:val="000000"/>
                <w:sz w:val="18"/>
                <w:szCs w:val="18"/>
                <w:lang w:val="en-US"/>
              </w:rPr>
              <w:t>Study design and participants; Figure 1</w:t>
            </w:r>
          </w:p>
        </w:tc>
        <w:tc>
          <w:tcPr>
            <w:tcW w:w="2540" w:type="dxa"/>
            <w:tcMar>
              <w:top w:w="60" w:type="dxa"/>
              <w:left w:w="80" w:type="dxa"/>
              <w:bottom w:w="60" w:type="dxa"/>
              <w:right w:w="80" w:type="dxa"/>
            </w:tcMar>
            <w:vAlign w:val="center"/>
          </w:tcPr>
          <w:p w14:paraId="24472F29" w14:textId="77777777" w:rsidR="009A0641" w:rsidRDefault="00000000">
            <w:r>
              <w:rPr>
                <w:rFonts w:ascii="Calibri" w:eastAsia="Calibri" w:hAnsi="Calibri" w:cs="Calibri"/>
                <w:color w:val="000000"/>
                <w:sz w:val="18"/>
                <w:szCs w:val="18"/>
              </w:rPr>
              <w:t>62 → 47 analyzed / 15 excluded (outcome undefined).</w:t>
            </w:r>
          </w:p>
        </w:tc>
      </w:tr>
      <w:tr w:rsidR="009A0641" w:rsidRPr="00A612A6" w14:paraId="12F0E5A5" w14:textId="77777777">
        <w:tc>
          <w:tcPr>
            <w:tcW w:w="700" w:type="dxa"/>
            <w:tcMar>
              <w:top w:w="60" w:type="dxa"/>
              <w:left w:w="80" w:type="dxa"/>
              <w:bottom w:w="60" w:type="dxa"/>
              <w:right w:w="80" w:type="dxa"/>
            </w:tcMar>
            <w:vAlign w:val="center"/>
          </w:tcPr>
          <w:p w14:paraId="5B2C840E" w14:textId="77777777" w:rsidR="009A0641" w:rsidRDefault="00000000">
            <w:r>
              <w:rPr>
                <w:rFonts w:ascii="Calibri" w:eastAsia="Calibri" w:hAnsi="Calibri" w:cs="Calibri"/>
                <w:b/>
                <w:bCs/>
                <w:color w:val="000000"/>
                <w:sz w:val="18"/>
                <w:szCs w:val="18"/>
              </w:rPr>
              <w:t>20b</w:t>
            </w:r>
          </w:p>
        </w:tc>
        <w:tc>
          <w:tcPr>
            <w:tcW w:w="3600" w:type="dxa"/>
            <w:tcMar>
              <w:top w:w="60" w:type="dxa"/>
              <w:left w:w="80" w:type="dxa"/>
              <w:bottom w:w="60" w:type="dxa"/>
              <w:right w:w="80" w:type="dxa"/>
            </w:tcMar>
            <w:vAlign w:val="center"/>
          </w:tcPr>
          <w:p w14:paraId="55D306B2" w14:textId="77777777" w:rsidR="009A0641" w:rsidRPr="00A612A6" w:rsidRDefault="00000000">
            <w:pPr>
              <w:rPr>
                <w:lang w:val="en-US"/>
              </w:rPr>
            </w:pPr>
            <w:r w:rsidRPr="00A612A6">
              <w:rPr>
                <w:rFonts w:ascii="Calibri" w:eastAsia="Calibri" w:hAnsi="Calibri" w:cs="Calibri"/>
                <w:color w:val="000000"/>
                <w:sz w:val="18"/>
                <w:szCs w:val="18"/>
                <w:lang w:val="en-US"/>
              </w:rPr>
              <w:t>Characteristics overall and by source/setting.</w:t>
            </w:r>
          </w:p>
        </w:tc>
        <w:tc>
          <w:tcPr>
            <w:tcW w:w="1000" w:type="dxa"/>
            <w:tcMar>
              <w:top w:w="60" w:type="dxa"/>
              <w:left w:w="80" w:type="dxa"/>
              <w:bottom w:w="60" w:type="dxa"/>
              <w:right w:w="80" w:type="dxa"/>
            </w:tcMar>
            <w:vAlign w:val="center"/>
          </w:tcPr>
          <w:p w14:paraId="1BB4ACF0" w14:textId="77777777" w:rsidR="009A0641" w:rsidRDefault="00000000">
            <w:r>
              <w:rPr>
                <w:b/>
                <w:color w:val="1E7B34"/>
              </w:rPr>
              <w:t>Reported</w:t>
            </w:r>
          </w:p>
        </w:tc>
        <w:tc>
          <w:tcPr>
            <w:tcW w:w="2600" w:type="dxa"/>
            <w:tcMar>
              <w:top w:w="60" w:type="dxa"/>
              <w:left w:w="80" w:type="dxa"/>
              <w:bottom w:w="60" w:type="dxa"/>
              <w:right w:w="80" w:type="dxa"/>
            </w:tcMar>
            <w:vAlign w:val="center"/>
          </w:tcPr>
          <w:p w14:paraId="7D5B3798" w14:textId="77777777" w:rsidR="009A0641" w:rsidRDefault="00000000">
            <w:r>
              <w:rPr>
                <w:rFonts w:ascii="Calibri" w:eastAsia="Calibri" w:hAnsi="Calibri" w:cs="Calibri"/>
                <w:color w:val="000000"/>
                <w:sz w:val="18"/>
                <w:szCs w:val="18"/>
              </w:rPr>
              <w:t>Table 1</w:t>
            </w:r>
          </w:p>
        </w:tc>
        <w:tc>
          <w:tcPr>
            <w:tcW w:w="2540" w:type="dxa"/>
            <w:tcMar>
              <w:top w:w="60" w:type="dxa"/>
              <w:left w:w="80" w:type="dxa"/>
              <w:bottom w:w="60" w:type="dxa"/>
              <w:right w:w="80" w:type="dxa"/>
            </w:tcMar>
            <w:vAlign w:val="center"/>
          </w:tcPr>
          <w:p w14:paraId="2F70BC34" w14:textId="77777777" w:rsidR="009A0641" w:rsidRPr="00A612A6" w:rsidRDefault="00000000">
            <w:pPr>
              <w:rPr>
                <w:lang w:val="en-US"/>
              </w:rPr>
            </w:pPr>
            <w:r w:rsidRPr="00A612A6">
              <w:rPr>
                <w:lang w:val="en-US"/>
              </w:rPr>
              <w:t>WBC/platelet median (IQR) now reported in Table 1 for both groups.</w:t>
            </w:r>
          </w:p>
        </w:tc>
      </w:tr>
      <w:tr w:rsidR="009A0641" w14:paraId="361A63A6" w14:textId="77777777">
        <w:tc>
          <w:tcPr>
            <w:tcW w:w="700" w:type="dxa"/>
            <w:tcMar>
              <w:top w:w="60" w:type="dxa"/>
              <w:left w:w="80" w:type="dxa"/>
              <w:bottom w:w="60" w:type="dxa"/>
              <w:right w:w="80" w:type="dxa"/>
            </w:tcMar>
            <w:vAlign w:val="center"/>
          </w:tcPr>
          <w:p w14:paraId="3EA69ABF" w14:textId="77777777" w:rsidR="009A0641" w:rsidRDefault="00000000">
            <w:r>
              <w:rPr>
                <w:rFonts w:ascii="Calibri" w:eastAsia="Calibri" w:hAnsi="Calibri" w:cs="Calibri"/>
                <w:b/>
                <w:bCs/>
                <w:color w:val="000000"/>
                <w:sz w:val="18"/>
                <w:szCs w:val="18"/>
              </w:rPr>
              <w:t>20c</w:t>
            </w:r>
          </w:p>
        </w:tc>
        <w:tc>
          <w:tcPr>
            <w:tcW w:w="3600" w:type="dxa"/>
            <w:tcMar>
              <w:top w:w="60" w:type="dxa"/>
              <w:left w:w="80" w:type="dxa"/>
              <w:bottom w:w="60" w:type="dxa"/>
              <w:right w:w="80" w:type="dxa"/>
            </w:tcMar>
            <w:vAlign w:val="center"/>
          </w:tcPr>
          <w:p w14:paraId="188B66E2" w14:textId="77777777" w:rsidR="009A0641" w:rsidRPr="00A612A6" w:rsidRDefault="00000000">
            <w:pPr>
              <w:rPr>
                <w:lang w:val="en-US"/>
              </w:rPr>
            </w:pPr>
            <w:r w:rsidRPr="00A612A6">
              <w:rPr>
                <w:rFonts w:ascii="Calibri" w:eastAsia="Calibri" w:hAnsi="Calibri" w:cs="Calibri"/>
                <w:color w:val="000000"/>
                <w:sz w:val="18"/>
                <w:szCs w:val="18"/>
                <w:lang w:val="en-US"/>
              </w:rPr>
              <w:t>Comparison of predictor distributions vs. development data (E only).</w:t>
            </w:r>
          </w:p>
        </w:tc>
        <w:tc>
          <w:tcPr>
            <w:tcW w:w="1000" w:type="dxa"/>
            <w:tcMar>
              <w:top w:w="60" w:type="dxa"/>
              <w:left w:w="80" w:type="dxa"/>
              <w:bottom w:w="60" w:type="dxa"/>
              <w:right w:w="80" w:type="dxa"/>
            </w:tcMar>
            <w:vAlign w:val="center"/>
          </w:tcPr>
          <w:p w14:paraId="36F6A93E" w14:textId="77777777" w:rsidR="009A0641" w:rsidRDefault="00000000">
            <w:r>
              <w:rPr>
                <w:rFonts w:ascii="Calibri" w:eastAsia="Calibri" w:hAnsi="Calibri" w:cs="Calibri"/>
                <w:b/>
                <w:bCs/>
                <w:color w:val="808080"/>
                <w:sz w:val="18"/>
                <w:szCs w:val="18"/>
              </w:rPr>
              <w:t>N/A</w:t>
            </w:r>
          </w:p>
        </w:tc>
        <w:tc>
          <w:tcPr>
            <w:tcW w:w="2600" w:type="dxa"/>
            <w:tcMar>
              <w:top w:w="60" w:type="dxa"/>
              <w:left w:w="80" w:type="dxa"/>
              <w:bottom w:w="60" w:type="dxa"/>
              <w:right w:w="80" w:type="dxa"/>
            </w:tcMar>
            <w:vAlign w:val="center"/>
          </w:tcPr>
          <w:p w14:paraId="2FC791C1"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162F77FA" w14:textId="77777777" w:rsidR="009A0641" w:rsidRDefault="00000000">
            <w:r>
              <w:rPr>
                <w:rFonts w:ascii="Calibri" w:eastAsia="Calibri" w:hAnsi="Calibri" w:cs="Calibri"/>
                <w:color w:val="000000"/>
                <w:sz w:val="18"/>
                <w:szCs w:val="18"/>
              </w:rPr>
              <w:t>No external evaluation dataset.</w:t>
            </w:r>
          </w:p>
        </w:tc>
      </w:tr>
      <w:tr w:rsidR="009A0641" w14:paraId="62FE17F3" w14:textId="77777777">
        <w:tc>
          <w:tcPr>
            <w:tcW w:w="10440" w:type="dxa"/>
            <w:gridSpan w:val="5"/>
            <w:shd w:val="clear" w:color="auto" w:fill="D9E2F3"/>
            <w:tcMar>
              <w:top w:w="60" w:type="dxa"/>
              <w:left w:w="80" w:type="dxa"/>
              <w:bottom w:w="60" w:type="dxa"/>
              <w:right w:w="80" w:type="dxa"/>
            </w:tcMar>
          </w:tcPr>
          <w:p w14:paraId="2D6DA921" w14:textId="77777777" w:rsidR="009A0641" w:rsidRDefault="00000000">
            <w:r>
              <w:rPr>
                <w:rFonts w:ascii="Calibri" w:eastAsia="Calibri" w:hAnsi="Calibri" w:cs="Calibri"/>
                <w:b/>
                <w:bCs/>
                <w:sz w:val="19"/>
                <w:szCs w:val="19"/>
              </w:rPr>
              <w:t>Results — Model Development</w:t>
            </w:r>
          </w:p>
        </w:tc>
      </w:tr>
      <w:tr w:rsidR="009A0641" w:rsidRPr="00A612A6" w14:paraId="0D8CD9AC" w14:textId="77777777">
        <w:tc>
          <w:tcPr>
            <w:tcW w:w="700" w:type="dxa"/>
            <w:tcMar>
              <w:top w:w="60" w:type="dxa"/>
              <w:left w:w="80" w:type="dxa"/>
              <w:bottom w:w="60" w:type="dxa"/>
              <w:right w:w="80" w:type="dxa"/>
            </w:tcMar>
            <w:vAlign w:val="center"/>
          </w:tcPr>
          <w:p w14:paraId="48E9B1A0" w14:textId="77777777" w:rsidR="009A0641" w:rsidRDefault="00000000">
            <w:r>
              <w:rPr>
                <w:rFonts w:ascii="Calibri" w:eastAsia="Calibri" w:hAnsi="Calibri" w:cs="Calibri"/>
                <w:b/>
                <w:bCs/>
                <w:color w:val="000000"/>
                <w:sz w:val="18"/>
                <w:szCs w:val="18"/>
              </w:rPr>
              <w:t>21</w:t>
            </w:r>
          </w:p>
        </w:tc>
        <w:tc>
          <w:tcPr>
            <w:tcW w:w="3600" w:type="dxa"/>
            <w:tcMar>
              <w:top w:w="60" w:type="dxa"/>
              <w:left w:w="80" w:type="dxa"/>
              <w:bottom w:w="60" w:type="dxa"/>
              <w:right w:w="80" w:type="dxa"/>
            </w:tcMar>
            <w:vAlign w:val="center"/>
          </w:tcPr>
          <w:p w14:paraId="485013A0" w14:textId="77777777" w:rsidR="009A0641" w:rsidRPr="00A612A6" w:rsidRDefault="00000000">
            <w:pPr>
              <w:rPr>
                <w:lang w:val="en-US"/>
              </w:rPr>
            </w:pPr>
            <w:r w:rsidRPr="00A612A6">
              <w:rPr>
                <w:rFonts w:ascii="Calibri" w:eastAsia="Calibri" w:hAnsi="Calibri" w:cs="Calibri"/>
                <w:color w:val="000000"/>
                <w:sz w:val="18"/>
                <w:szCs w:val="18"/>
                <w:lang w:val="en-US"/>
              </w:rPr>
              <w:t>Number of participants and outcome events in each analysis.</w:t>
            </w:r>
          </w:p>
        </w:tc>
        <w:tc>
          <w:tcPr>
            <w:tcW w:w="1000" w:type="dxa"/>
            <w:tcMar>
              <w:top w:w="60" w:type="dxa"/>
              <w:left w:w="80" w:type="dxa"/>
              <w:bottom w:w="60" w:type="dxa"/>
              <w:right w:w="80" w:type="dxa"/>
            </w:tcMar>
            <w:vAlign w:val="center"/>
          </w:tcPr>
          <w:p w14:paraId="430DCC6C"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03682946" w14:textId="77777777" w:rsidR="009A0641" w:rsidRDefault="00000000">
            <w:r>
              <w:rPr>
                <w:rFonts w:ascii="Calibri" w:eastAsia="Calibri" w:hAnsi="Calibri" w:cs="Calibri"/>
                <w:color w:val="000000"/>
                <w:sz w:val="18"/>
                <w:szCs w:val="18"/>
              </w:rPr>
              <w:t>Results; Table 1</w:t>
            </w:r>
          </w:p>
        </w:tc>
        <w:tc>
          <w:tcPr>
            <w:tcW w:w="2540" w:type="dxa"/>
            <w:tcMar>
              <w:top w:w="60" w:type="dxa"/>
              <w:left w:w="80" w:type="dxa"/>
              <w:bottom w:w="60" w:type="dxa"/>
              <w:right w:w="80" w:type="dxa"/>
            </w:tcMar>
            <w:vAlign w:val="center"/>
          </w:tcPr>
          <w:p w14:paraId="4E041455" w14:textId="77777777" w:rsidR="009A0641" w:rsidRPr="00A612A6" w:rsidRDefault="00000000">
            <w:pPr>
              <w:rPr>
                <w:lang w:val="en-US"/>
              </w:rPr>
            </w:pPr>
            <w:r w:rsidRPr="00A612A6">
              <w:rPr>
                <w:rFonts w:ascii="Calibri" w:eastAsia="Calibri" w:hAnsi="Calibri" w:cs="Calibri"/>
                <w:color w:val="000000"/>
                <w:sz w:val="18"/>
                <w:szCs w:val="18"/>
                <w:lang w:val="en-US"/>
              </w:rPr>
              <w:t>n=47, 18 ypN-positive (38.3%), consistent throughout.</w:t>
            </w:r>
          </w:p>
        </w:tc>
      </w:tr>
      <w:tr w:rsidR="009A0641" w14:paraId="365454E0" w14:textId="77777777">
        <w:tc>
          <w:tcPr>
            <w:tcW w:w="10440" w:type="dxa"/>
            <w:gridSpan w:val="5"/>
            <w:shd w:val="clear" w:color="auto" w:fill="D9E2F3"/>
            <w:tcMar>
              <w:top w:w="60" w:type="dxa"/>
              <w:left w:w="80" w:type="dxa"/>
              <w:bottom w:w="60" w:type="dxa"/>
              <w:right w:w="80" w:type="dxa"/>
            </w:tcMar>
          </w:tcPr>
          <w:p w14:paraId="6F875853" w14:textId="77777777" w:rsidR="009A0641" w:rsidRDefault="00000000">
            <w:r>
              <w:rPr>
                <w:rFonts w:ascii="Calibri" w:eastAsia="Calibri" w:hAnsi="Calibri" w:cs="Calibri"/>
                <w:b/>
                <w:bCs/>
                <w:sz w:val="19"/>
                <w:szCs w:val="19"/>
              </w:rPr>
              <w:t>Results — Model Specification</w:t>
            </w:r>
          </w:p>
        </w:tc>
      </w:tr>
      <w:tr w:rsidR="009A0641" w:rsidRPr="00A612A6" w14:paraId="7FBBADC4" w14:textId="77777777">
        <w:tc>
          <w:tcPr>
            <w:tcW w:w="700" w:type="dxa"/>
            <w:tcMar>
              <w:top w:w="60" w:type="dxa"/>
              <w:left w:w="80" w:type="dxa"/>
              <w:bottom w:w="60" w:type="dxa"/>
              <w:right w:w="80" w:type="dxa"/>
            </w:tcMar>
            <w:vAlign w:val="center"/>
          </w:tcPr>
          <w:p w14:paraId="5C48DE6E" w14:textId="77777777" w:rsidR="009A0641" w:rsidRDefault="00000000">
            <w:r>
              <w:rPr>
                <w:rFonts w:ascii="Calibri" w:eastAsia="Calibri" w:hAnsi="Calibri" w:cs="Calibri"/>
                <w:b/>
                <w:bCs/>
                <w:color w:val="000000"/>
                <w:sz w:val="18"/>
                <w:szCs w:val="18"/>
              </w:rPr>
              <w:t>22</w:t>
            </w:r>
          </w:p>
        </w:tc>
        <w:tc>
          <w:tcPr>
            <w:tcW w:w="3600" w:type="dxa"/>
            <w:tcMar>
              <w:top w:w="60" w:type="dxa"/>
              <w:left w:w="80" w:type="dxa"/>
              <w:bottom w:w="60" w:type="dxa"/>
              <w:right w:w="80" w:type="dxa"/>
            </w:tcMar>
            <w:vAlign w:val="center"/>
          </w:tcPr>
          <w:p w14:paraId="7289FF9E" w14:textId="77777777" w:rsidR="009A0641" w:rsidRPr="00A612A6" w:rsidRDefault="00000000">
            <w:pPr>
              <w:rPr>
                <w:lang w:val="en-US"/>
              </w:rPr>
            </w:pPr>
            <w:r w:rsidRPr="00A612A6">
              <w:rPr>
                <w:rFonts w:ascii="Calibri" w:eastAsia="Calibri" w:hAnsi="Calibri" w:cs="Calibri"/>
                <w:color w:val="000000"/>
                <w:sz w:val="18"/>
                <w:szCs w:val="18"/>
                <w:lang w:val="en-US"/>
              </w:rPr>
              <w:t>Full prediction model details, to enable third-party use.</w:t>
            </w:r>
          </w:p>
        </w:tc>
        <w:tc>
          <w:tcPr>
            <w:tcW w:w="1000" w:type="dxa"/>
            <w:tcMar>
              <w:top w:w="60" w:type="dxa"/>
              <w:left w:w="80" w:type="dxa"/>
              <w:bottom w:w="60" w:type="dxa"/>
              <w:right w:w="80" w:type="dxa"/>
            </w:tcMar>
            <w:vAlign w:val="center"/>
          </w:tcPr>
          <w:p w14:paraId="3320528D" w14:textId="77777777" w:rsidR="009A0641" w:rsidRDefault="00000000">
            <w:r>
              <w:rPr>
                <w:b/>
                <w:color w:val="1E7B34"/>
              </w:rPr>
              <w:t>Reported</w:t>
            </w:r>
          </w:p>
        </w:tc>
        <w:tc>
          <w:tcPr>
            <w:tcW w:w="2600" w:type="dxa"/>
            <w:tcMar>
              <w:top w:w="60" w:type="dxa"/>
              <w:left w:w="80" w:type="dxa"/>
              <w:bottom w:w="60" w:type="dxa"/>
              <w:right w:w="80" w:type="dxa"/>
            </w:tcMar>
            <w:vAlign w:val="center"/>
          </w:tcPr>
          <w:p w14:paraId="7A0BB254" w14:textId="77777777" w:rsidR="009A0641" w:rsidRDefault="00000000">
            <w:r>
              <w:rPr>
                <w:rFonts w:ascii="Calibri" w:eastAsia="Calibri" w:hAnsi="Calibri" w:cs="Calibri"/>
                <w:color w:val="000000"/>
                <w:sz w:val="18"/>
                <w:szCs w:val="18"/>
              </w:rPr>
              <w:t>Model training and evaluation; Supplementary Table S1</w:t>
            </w:r>
          </w:p>
        </w:tc>
        <w:tc>
          <w:tcPr>
            <w:tcW w:w="2540" w:type="dxa"/>
            <w:tcMar>
              <w:top w:w="60" w:type="dxa"/>
              <w:left w:w="80" w:type="dxa"/>
              <w:bottom w:w="60" w:type="dxa"/>
              <w:right w:w="80" w:type="dxa"/>
            </w:tcMar>
            <w:vAlign w:val="center"/>
          </w:tcPr>
          <w:p w14:paraId="2DC528D1" w14:textId="77777777" w:rsidR="009A0641" w:rsidRPr="00A612A6" w:rsidRDefault="00000000">
            <w:pPr>
              <w:rPr>
                <w:lang w:val="en-US"/>
              </w:rPr>
            </w:pPr>
            <w:r w:rsidRPr="00A612A6">
              <w:rPr>
                <w:lang w:val="en-US"/>
              </w:rPr>
              <w:t>Standardized coefficients/odds ratios are in Results; the model intercept, standardization means/SDs, units, and prediction formula are in Supplementary Table S1 (formerly main-text Table 3).</w:t>
            </w:r>
          </w:p>
        </w:tc>
      </w:tr>
      <w:tr w:rsidR="009A0641" w14:paraId="31274EAA" w14:textId="77777777">
        <w:tc>
          <w:tcPr>
            <w:tcW w:w="10440" w:type="dxa"/>
            <w:gridSpan w:val="5"/>
            <w:shd w:val="clear" w:color="auto" w:fill="D9E2F3"/>
            <w:tcMar>
              <w:top w:w="60" w:type="dxa"/>
              <w:left w:w="80" w:type="dxa"/>
              <w:bottom w:w="60" w:type="dxa"/>
              <w:right w:w="80" w:type="dxa"/>
            </w:tcMar>
          </w:tcPr>
          <w:p w14:paraId="5E064238" w14:textId="77777777" w:rsidR="009A0641" w:rsidRDefault="00000000">
            <w:r>
              <w:rPr>
                <w:rFonts w:ascii="Calibri" w:eastAsia="Calibri" w:hAnsi="Calibri" w:cs="Calibri"/>
                <w:b/>
                <w:bCs/>
                <w:sz w:val="19"/>
                <w:szCs w:val="19"/>
              </w:rPr>
              <w:t>Results — Model Performance</w:t>
            </w:r>
          </w:p>
        </w:tc>
      </w:tr>
      <w:tr w:rsidR="009A0641" w:rsidRPr="00A612A6" w14:paraId="3709E32C" w14:textId="77777777">
        <w:tc>
          <w:tcPr>
            <w:tcW w:w="700" w:type="dxa"/>
            <w:tcMar>
              <w:top w:w="60" w:type="dxa"/>
              <w:left w:w="80" w:type="dxa"/>
              <w:bottom w:w="60" w:type="dxa"/>
              <w:right w:w="80" w:type="dxa"/>
            </w:tcMar>
            <w:vAlign w:val="center"/>
          </w:tcPr>
          <w:p w14:paraId="4C018DF3" w14:textId="77777777" w:rsidR="009A0641" w:rsidRDefault="00000000">
            <w:r>
              <w:rPr>
                <w:rFonts w:ascii="Calibri" w:eastAsia="Calibri" w:hAnsi="Calibri" w:cs="Calibri"/>
                <w:b/>
                <w:bCs/>
                <w:color w:val="000000"/>
                <w:sz w:val="18"/>
                <w:szCs w:val="18"/>
              </w:rPr>
              <w:t>23a</w:t>
            </w:r>
          </w:p>
        </w:tc>
        <w:tc>
          <w:tcPr>
            <w:tcW w:w="3600" w:type="dxa"/>
            <w:tcMar>
              <w:top w:w="60" w:type="dxa"/>
              <w:left w:w="80" w:type="dxa"/>
              <w:bottom w:w="60" w:type="dxa"/>
              <w:right w:w="80" w:type="dxa"/>
            </w:tcMar>
            <w:vAlign w:val="center"/>
          </w:tcPr>
          <w:p w14:paraId="72AF73F9" w14:textId="77777777" w:rsidR="009A0641" w:rsidRPr="00A612A6" w:rsidRDefault="00000000">
            <w:pPr>
              <w:rPr>
                <w:lang w:val="en-US"/>
              </w:rPr>
            </w:pPr>
            <w:r w:rsidRPr="00A612A6">
              <w:rPr>
                <w:rFonts w:ascii="Calibri" w:eastAsia="Calibri" w:hAnsi="Calibri" w:cs="Calibri"/>
                <w:color w:val="000000"/>
                <w:sz w:val="18"/>
                <w:szCs w:val="18"/>
                <w:lang w:val="en-US"/>
              </w:rPr>
              <w:t>Performance estimates with confidence intervals, including key subgroups.</w:t>
            </w:r>
          </w:p>
        </w:tc>
        <w:tc>
          <w:tcPr>
            <w:tcW w:w="1000" w:type="dxa"/>
            <w:tcMar>
              <w:top w:w="60" w:type="dxa"/>
              <w:left w:w="80" w:type="dxa"/>
              <w:bottom w:w="60" w:type="dxa"/>
              <w:right w:w="80" w:type="dxa"/>
            </w:tcMar>
            <w:vAlign w:val="center"/>
          </w:tcPr>
          <w:p w14:paraId="50010959"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52D078C4" w14:textId="77777777" w:rsidR="009A0641" w:rsidRDefault="00000000">
            <w:r>
              <w:rPr>
                <w:rFonts w:ascii="Calibri" w:eastAsia="Calibri" w:hAnsi="Calibri" w:cs="Calibri"/>
                <w:color w:val="000000"/>
                <w:sz w:val="18"/>
                <w:szCs w:val="18"/>
              </w:rPr>
              <w:t>Results; Table 2; Discussion</w:t>
            </w:r>
          </w:p>
        </w:tc>
        <w:tc>
          <w:tcPr>
            <w:tcW w:w="2540" w:type="dxa"/>
            <w:tcMar>
              <w:top w:w="60" w:type="dxa"/>
              <w:left w:w="80" w:type="dxa"/>
              <w:bottom w:w="60" w:type="dxa"/>
              <w:right w:w="80" w:type="dxa"/>
            </w:tcMar>
            <w:vAlign w:val="center"/>
          </w:tcPr>
          <w:p w14:paraId="22B5E473" w14:textId="77777777" w:rsidR="009A0641" w:rsidRPr="00A612A6" w:rsidRDefault="00000000">
            <w:pPr>
              <w:rPr>
                <w:lang w:val="en-US"/>
              </w:rPr>
            </w:pPr>
            <w:r w:rsidRPr="00A612A6">
              <w:rPr>
                <w:rFonts w:ascii="Calibri" w:eastAsia="Calibri" w:hAnsi="Calibri" w:cs="Calibri"/>
                <w:color w:val="000000"/>
                <w:sz w:val="18"/>
                <w:szCs w:val="18"/>
                <w:lang w:val="en-US"/>
              </w:rPr>
              <w:t>Subgroup-level performance not reported (small n limits this).</w:t>
            </w:r>
          </w:p>
        </w:tc>
      </w:tr>
      <w:tr w:rsidR="009A0641" w14:paraId="07B8B6E6" w14:textId="77777777">
        <w:tc>
          <w:tcPr>
            <w:tcW w:w="700" w:type="dxa"/>
            <w:tcMar>
              <w:top w:w="60" w:type="dxa"/>
              <w:left w:w="80" w:type="dxa"/>
              <w:bottom w:w="60" w:type="dxa"/>
              <w:right w:w="80" w:type="dxa"/>
            </w:tcMar>
            <w:vAlign w:val="center"/>
          </w:tcPr>
          <w:p w14:paraId="115CEF32" w14:textId="77777777" w:rsidR="009A0641" w:rsidRDefault="00000000">
            <w:r>
              <w:rPr>
                <w:rFonts w:ascii="Calibri" w:eastAsia="Calibri" w:hAnsi="Calibri" w:cs="Calibri"/>
                <w:b/>
                <w:bCs/>
                <w:color w:val="000000"/>
                <w:sz w:val="18"/>
                <w:szCs w:val="18"/>
              </w:rPr>
              <w:t>23b</w:t>
            </w:r>
          </w:p>
        </w:tc>
        <w:tc>
          <w:tcPr>
            <w:tcW w:w="3600" w:type="dxa"/>
            <w:tcMar>
              <w:top w:w="60" w:type="dxa"/>
              <w:left w:w="80" w:type="dxa"/>
              <w:bottom w:w="60" w:type="dxa"/>
              <w:right w:w="80" w:type="dxa"/>
            </w:tcMar>
            <w:vAlign w:val="center"/>
          </w:tcPr>
          <w:p w14:paraId="35510D55" w14:textId="77777777" w:rsidR="009A0641" w:rsidRPr="00A612A6" w:rsidRDefault="00000000">
            <w:pPr>
              <w:rPr>
                <w:lang w:val="en-US"/>
              </w:rPr>
            </w:pPr>
            <w:r w:rsidRPr="00A612A6">
              <w:rPr>
                <w:rFonts w:ascii="Calibri" w:eastAsia="Calibri" w:hAnsi="Calibri" w:cs="Calibri"/>
                <w:color w:val="000000"/>
                <w:sz w:val="18"/>
                <w:szCs w:val="18"/>
                <w:lang w:val="en-US"/>
              </w:rPr>
              <w:t>Heterogeneity in performance across clusters.</w:t>
            </w:r>
          </w:p>
        </w:tc>
        <w:tc>
          <w:tcPr>
            <w:tcW w:w="1000" w:type="dxa"/>
            <w:tcMar>
              <w:top w:w="60" w:type="dxa"/>
              <w:left w:w="80" w:type="dxa"/>
              <w:bottom w:w="60" w:type="dxa"/>
              <w:right w:w="80" w:type="dxa"/>
            </w:tcMar>
            <w:vAlign w:val="center"/>
          </w:tcPr>
          <w:p w14:paraId="01794A41" w14:textId="77777777" w:rsidR="009A0641" w:rsidRDefault="00000000">
            <w:r>
              <w:rPr>
                <w:rFonts w:ascii="Calibri" w:eastAsia="Calibri" w:hAnsi="Calibri" w:cs="Calibri"/>
                <w:b/>
                <w:bCs/>
                <w:color w:val="808080"/>
                <w:sz w:val="18"/>
                <w:szCs w:val="18"/>
              </w:rPr>
              <w:t>N/A</w:t>
            </w:r>
          </w:p>
        </w:tc>
        <w:tc>
          <w:tcPr>
            <w:tcW w:w="2600" w:type="dxa"/>
            <w:tcMar>
              <w:top w:w="60" w:type="dxa"/>
              <w:left w:w="80" w:type="dxa"/>
              <w:bottom w:w="60" w:type="dxa"/>
              <w:right w:w="80" w:type="dxa"/>
            </w:tcMar>
            <w:vAlign w:val="center"/>
          </w:tcPr>
          <w:p w14:paraId="252240F5"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2E22CA54" w14:textId="77777777" w:rsidR="009A0641" w:rsidRDefault="00000000">
            <w:r>
              <w:rPr>
                <w:rFonts w:ascii="Calibri" w:eastAsia="Calibri" w:hAnsi="Calibri" w:cs="Calibri"/>
                <w:color w:val="000000"/>
                <w:sz w:val="18"/>
                <w:szCs w:val="18"/>
              </w:rPr>
              <w:t>Single-center study.</w:t>
            </w:r>
          </w:p>
        </w:tc>
      </w:tr>
      <w:tr w:rsidR="009A0641" w14:paraId="32554C65" w14:textId="77777777">
        <w:tc>
          <w:tcPr>
            <w:tcW w:w="10440" w:type="dxa"/>
            <w:gridSpan w:val="5"/>
            <w:shd w:val="clear" w:color="auto" w:fill="D9E2F3"/>
            <w:tcMar>
              <w:top w:w="60" w:type="dxa"/>
              <w:left w:w="80" w:type="dxa"/>
              <w:bottom w:w="60" w:type="dxa"/>
              <w:right w:w="80" w:type="dxa"/>
            </w:tcMar>
          </w:tcPr>
          <w:p w14:paraId="544D3E21" w14:textId="77777777" w:rsidR="009A0641" w:rsidRDefault="00000000">
            <w:r>
              <w:rPr>
                <w:rFonts w:ascii="Calibri" w:eastAsia="Calibri" w:hAnsi="Calibri" w:cs="Calibri"/>
                <w:b/>
                <w:bCs/>
                <w:sz w:val="19"/>
                <w:szCs w:val="19"/>
              </w:rPr>
              <w:t>Results — Model Updating</w:t>
            </w:r>
          </w:p>
        </w:tc>
      </w:tr>
      <w:tr w:rsidR="009A0641" w14:paraId="249AFC35" w14:textId="77777777">
        <w:tc>
          <w:tcPr>
            <w:tcW w:w="700" w:type="dxa"/>
            <w:tcMar>
              <w:top w:w="60" w:type="dxa"/>
              <w:left w:w="80" w:type="dxa"/>
              <w:bottom w:w="60" w:type="dxa"/>
              <w:right w:w="80" w:type="dxa"/>
            </w:tcMar>
            <w:vAlign w:val="center"/>
          </w:tcPr>
          <w:p w14:paraId="0D609D1B" w14:textId="77777777" w:rsidR="009A0641" w:rsidRDefault="00000000">
            <w:r>
              <w:rPr>
                <w:rFonts w:ascii="Calibri" w:eastAsia="Calibri" w:hAnsi="Calibri" w:cs="Calibri"/>
                <w:b/>
                <w:bCs/>
                <w:color w:val="000000"/>
                <w:sz w:val="18"/>
                <w:szCs w:val="18"/>
              </w:rPr>
              <w:t>24</w:t>
            </w:r>
          </w:p>
        </w:tc>
        <w:tc>
          <w:tcPr>
            <w:tcW w:w="3600" w:type="dxa"/>
            <w:tcMar>
              <w:top w:w="60" w:type="dxa"/>
              <w:left w:w="80" w:type="dxa"/>
              <w:bottom w:w="60" w:type="dxa"/>
              <w:right w:w="80" w:type="dxa"/>
            </w:tcMar>
            <w:vAlign w:val="center"/>
          </w:tcPr>
          <w:p w14:paraId="4E77C330" w14:textId="77777777" w:rsidR="009A0641" w:rsidRPr="00A612A6" w:rsidRDefault="00000000">
            <w:pPr>
              <w:rPr>
                <w:lang w:val="en-US"/>
              </w:rPr>
            </w:pPr>
            <w:r w:rsidRPr="00A612A6">
              <w:rPr>
                <w:rFonts w:ascii="Calibri" w:eastAsia="Calibri" w:hAnsi="Calibri" w:cs="Calibri"/>
                <w:color w:val="000000"/>
                <w:sz w:val="18"/>
                <w:szCs w:val="18"/>
                <w:lang w:val="en-US"/>
              </w:rPr>
              <w:t>Results of any model updating (E only).</w:t>
            </w:r>
          </w:p>
        </w:tc>
        <w:tc>
          <w:tcPr>
            <w:tcW w:w="1000" w:type="dxa"/>
            <w:tcMar>
              <w:top w:w="60" w:type="dxa"/>
              <w:left w:w="80" w:type="dxa"/>
              <w:bottom w:w="60" w:type="dxa"/>
              <w:right w:w="80" w:type="dxa"/>
            </w:tcMar>
            <w:vAlign w:val="center"/>
          </w:tcPr>
          <w:p w14:paraId="6387F2FC" w14:textId="77777777" w:rsidR="009A0641" w:rsidRDefault="00000000">
            <w:r>
              <w:rPr>
                <w:rFonts w:ascii="Calibri" w:eastAsia="Calibri" w:hAnsi="Calibri" w:cs="Calibri"/>
                <w:b/>
                <w:bCs/>
                <w:color w:val="808080"/>
                <w:sz w:val="18"/>
                <w:szCs w:val="18"/>
              </w:rPr>
              <w:t>N/A</w:t>
            </w:r>
          </w:p>
        </w:tc>
        <w:tc>
          <w:tcPr>
            <w:tcW w:w="2600" w:type="dxa"/>
            <w:tcMar>
              <w:top w:w="60" w:type="dxa"/>
              <w:left w:w="80" w:type="dxa"/>
              <w:bottom w:w="60" w:type="dxa"/>
              <w:right w:w="80" w:type="dxa"/>
            </w:tcMar>
            <w:vAlign w:val="center"/>
          </w:tcPr>
          <w:p w14:paraId="7181929F"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12E2DF3E" w14:textId="77777777" w:rsidR="009A0641" w:rsidRDefault="00000000">
            <w:r>
              <w:rPr>
                <w:rFonts w:ascii="Calibri" w:eastAsia="Calibri" w:hAnsi="Calibri" w:cs="Calibri"/>
                <w:color w:val="000000"/>
                <w:sz w:val="18"/>
                <w:szCs w:val="18"/>
              </w:rPr>
              <w:t>No external evaluation dataset.</w:t>
            </w:r>
          </w:p>
        </w:tc>
      </w:tr>
      <w:tr w:rsidR="009A0641" w14:paraId="30AADCDF" w14:textId="77777777">
        <w:tc>
          <w:tcPr>
            <w:tcW w:w="10440" w:type="dxa"/>
            <w:gridSpan w:val="5"/>
            <w:shd w:val="clear" w:color="auto" w:fill="D9E2F3"/>
            <w:tcMar>
              <w:top w:w="60" w:type="dxa"/>
              <w:left w:w="80" w:type="dxa"/>
              <w:bottom w:w="60" w:type="dxa"/>
              <w:right w:w="80" w:type="dxa"/>
            </w:tcMar>
          </w:tcPr>
          <w:p w14:paraId="68CA36F2" w14:textId="77777777" w:rsidR="009A0641" w:rsidRDefault="00000000">
            <w:r>
              <w:rPr>
                <w:rFonts w:ascii="Calibri" w:eastAsia="Calibri" w:hAnsi="Calibri" w:cs="Calibri"/>
                <w:b/>
                <w:bCs/>
                <w:sz w:val="19"/>
                <w:szCs w:val="19"/>
              </w:rPr>
              <w:t>Discussion</w:t>
            </w:r>
          </w:p>
        </w:tc>
      </w:tr>
      <w:tr w:rsidR="009A0641" w:rsidRPr="00A612A6" w14:paraId="7E24F25C" w14:textId="77777777">
        <w:tc>
          <w:tcPr>
            <w:tcW w:w="700" w:type="dxa"/>
            <w:tcMar>
              <w:top w:w="60" w:type="dxa"/>
              <w:left w:w="80" w:type="dxa"/>
              <w:bottom w:w="60" w:type="dxa"/>
              <w:right w:w="80" w:type="dxa"/>
            </w:tcMar>
            <w:vAlign w:val="center"/>
          </w:tcPr>
          <w:p w14:paraId="25E833A0" w14:textId="77777777" w:rsidR="009A0641" w:rsidRDefault="00000000">
            <w:r>
              <w:rPr>
                <w:rFonts w:ascii="Calibri" w:eastAsia="Calibri" w:hAnsi="Calibri" w:cs="Calibri"/>
                <w:b/>
                <w:bCs/>
                <w:color w:val="000000"/>
                <w:sz w:val="18"/>
                <w:szCs w:val="18"/>
              </w:rPr>
              <w:t>25</w:t>
            </w:r>
          </w:p>
        </w:tc>
        <w:tc>
          <w:tcPr>
            <w:tcW w:w="3600" w:type="dxa"/>
            <w:tcMar>
              <w:top w:w="60" w:type="dxa"/>
              <w:left w:w="80" w:type="dxa"/>
              <w:bottom w:w="60" w:type="dxa"/>
              <w:right w:w="80" w:type="dxa"/>
            </w:tcMar>
            <w:vAlign w:val="center"/>
          </w:tcPr>
          <w:p w14:paraId="58114815" w14:textId="77777777" w:rsidR="009A0641" w:rsidRPr="00A612A6" w:rsidRDefault="00000000">
            <w:pPr>
              <w:rPr>
                <w:lang w:val="en-US"/>
              </w:rPr>
            </w:pPr>
            <w:r w:rsidRPr="00A612A6">
              <w:rPr>
                <w:rFonts w:ascii="Calibri" w:eastAsia="Calibri" w:hAnsi="Calibri" w:cs="Calibri"/>
                <w:color w:val="000000"/>
                <w:sz w:val="18"/>
                <w:szCs w:val="18"/>
                <w:lang w:val="en-US"/>
              </w:rPr>
              <w:t>Overall interpretation of main results, including fairness, vs. objectives/prior studies.</w:t>
            </w:r>
          </w:p>
        </w:tc>
        <w:tc>
          <w:tcPr>
            <w:tcW w:w="1000" w:type="dxa"/>
            <w:tcMar>
              <w:top w:w="60" w:type="dxa"/>
              <w:left w:w="80" w:type="dxa"/>
              <w:bottom w:w="60" w:type="dxa"/>
              <w:right w:w="80" w:type="dxa"/>
            </w:tcMar>
            <w:vAlign w:val="center"/>
          </w:tcPr>
          <w:p w14:paraId="2A0727FE" w14:textId="3492BD52" w:rsidR="009A0641" w:rsidRPr="00405C2F" w:rsidRDefault="00405C2F">
            <w:pPr>
              <w:rPr>
                <w:lang w:val="en-US"/>
              </w:rPr>
            </w:pPr>
            <w:r>
              <w:rPr>
                <w:rFonts w:ascii="Calibri" w:eastAsia="Calibri" w:hAnsi="Calibri" w:cs="Calibri"/>
                <w:b/>
                <w:bCs/>
                <w:color w:val="1E7B34"/>
                <w:sz w:val="18"/>
                <w:szCs w:val="18"/>
              </w:rPr>
              <w:t>Reporte</w:t>
            </w:r>
            <w:r>
              <w:rPr>
                <w:rFonts w:ascii="Calibri" w:eastAsia="Calibri" w:hAnsi="Calibri" w:cs="Calibri"/>
                <w:b/>
                <w:bCs/>
                <w:color w:val="1E7B34"/>
                <w:sz w:val="18"/>
                <w:szCs w:val="18"/>
                <w:lang w:val="en-US"/>
              </w:rPr>
              <w:t>d</w:t>
            </w:r>
          </w:p>
        </w:tc>
        <w:tc>
          <w:tcPr>
            <w:tcW w:w="2600" w:type="dxa"/>
            <w:tcMar>
              <w:top w:w="60" w:type="dxa"/>
              <w:left w:w="80" w:type="dxa"/>
              <w:bottom w:w="60" w:type="dxa"/>
              <w:right w:w="80" w:type="dxa"/>
            </w:tcMar>
            <w:vAlign w:val="center"/>
          </w:tcPr>
          <w:p w14:paraId="6F96175C" w14:textId="77777777" w:rsidR="009A0641" w:rsidRDefault="00000000">
            <w:r>
              <w:rPr>
                <w:rFonts w:ascii="Calibri" w:eastAsia="Calibri" w:hAnsi="Calibri" w:cs="Calibri"/>
                <w:color w:val="000000"/>
                <w:sz w:val="18"/>
                <w:szCs w:val="18"/>
              </w:rPr>
              <w:t>Discussion</w:t>
            </w:r>
          </w:p>
        </w:tc>
        <w:tc>
          <w:tcPr>
            <w:tcW w:w="2540" w:type="dxa"/>
            <w:tcMar>
              <w:top w:w="60" w:type="dxa"/>
              <w:left w:w="80" w:type="dxa"/>
              <w:bottom w:w="60" w:type="dxa"/>
              <w:right w:w="80" w:type="dxa"/>
            </w:tcMar>
            <w:vAlign w:val="center"/>
          </w:tcPr>
          <w:p w14:paraId="6C0B0753" w14:textId="77777777" w:rsidR="009A0641" w:rsidRPr="00A612A6" w:rsidRDefault="00000000">
            <w:pPr>
              <w:rPr>
                <w:lang w:val="en-US"/>
              </w:rPr>
            </w:pPr>
            <w:r w:rsidRPr="00A612A6">
              <w:rPr>
                <w:rFonts w:ascii="Calibri" w:eastAsia="Calibri" w:hAnsi="Calibri" w:cs="Calibri"/>
                <w:color w:val="000000"/>
                <w:sz w:val="18"/>
                <w:szCs w:val="18"/>
                <w:lang w:val="en-US"/>
              </w:rPr>
              <w:t>Interpretation vs. prior literature given; fairness dimension not addressed (see Items 3c/14).</w:t>
            </w:r>
          </w:p>
        </w:tc>
      </w:tr>
      <w:tr w:rsidR="009A0641" w:rsidRPr="00A612A6" w14:paraId="413D8BE0" w14:textId="77777777">
        <w:tc>
          <w:tcPr>
            <w:tcW w:w="700" w:type="dxa"/>
            <w:tcMar>
              <w:top w:w="60" w:type="dxa"/>
              <w:left w:w="80" w:type="dxa"/>
              <w:bottom w:w="60" w:type="dxa"/>
              <w:right w:w="80" w:type="dxa"/>
            </w:tcMar>
            <w:vAlign w:val="center"/>
          </w:tcPr>
          <w:p w14:paraId="6A72B352" w14:textId="77777777" w:rsidR="009A0641" w:rsidRDefault="00000000">
            <w:r>
              <w:rPr>
                <w:rFonts w:ascii="Calibri" w:eastAsia="Calibri" w:hAnsi="Calibri" w:cs="Calibri"/>
                <w:b/>
                <w:bCs/>
                <w:color w:val="000000"/>
                <w:sz w:val="18"/>
                <w:szCs w:val="18"/>
              </w:rPr>
              <w:t>26</w:t>
            </w:r>
          </w:p>
        </w:tc>
        <w:tc>
          <w:tcPr>
            <w:tcW w:w="3600" w:type="dxa"/>
            <w:tcMar>
              <w:top w:w="60" w:type="dxa"/>
              <w:left w:w="80" w:type="dxa"/>
              <w:bottom w:w="60" w:type="dxa"/>
              <w:right w:w="80" w:type="dxa"/>
            </w:tcMar>
            <w:vAlign w:val="center"/>
          </w:tcPr>
          <w:p w14:paraId="4D565363" w14:textId="77777777" w:rsidR="009A0641" w:rsidRPr="00A612A6" w:rsidRDefault="00000000">
            <w:pPr>
              <w:rPr>
                <w:lang w:val="en-US"/>
              </w:rPr>
            </w:pPr>
            <w:r w:rsidRPr="00A612A6">
              <w:rPr>
                <w:rFonts w:ascii="Calibri" w:eastAsia="Calibri" w:hAnsi="Calibri" w:cs="Calibri"/>
                <w:color w:val="000000"/>
                <w:sz w:val="18"/>
                <w:szCs w:val="18"/>
                <w:lang w:val="en-US"/>
              </w:rPr>
              <w:t>Limitations, including effects on bias, statistical uncertainty, generalisability.</w:t>
            </w:r>
          </w:p>
        </w:tc>
        <w:tc>
          <w:tcPr>
            <w:tcW w:w="1000" w:type="dxa"/>
            <w:tcMar>
              <w:top w:w="60" w:type="dxa"/>
              <w:left w:w="80" w:type="dxa"/>
              <w:bottom w:w="60" w:type="dxa"/>
              <w:right w:w="80" w:type="dxa"/>
            </w:tcMar>
            <w:vAlign w:val="center"/>
          </w:tcPr>
          <w:p w14:paraId="03C9EDD0"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74B4E6CD" w14:textId="77777777" w:rsidR="009A0641" w:rsidRDefault="00000000">
            <w:r>
              <w:rPr>
                <w:rFonts w:ascii="Calibri" w:eastAsia="Calibri" w:hAnsi="Calibri" w:cs="Calibri"/>
                <w:color w:val="000000"/>
                <w:sz w:val="18"/>
                <w:szCs w:val="18"/>
              </w:rPr>
              <w:t>Limitations</w:t>
            </w:r>
          </w:p>
        </w:tc>
        <w:tc>
          <w:tcPr>
            <w:tcW w:w="2540" w:type="dxa"/>
            <w:tcMar>
              <w:top w:w="60" w:type="dxa"/>
              <w:left w:w="80" w:type="dxa"/>
              <w:bottom w:w="60" w:type="dxa"/>
              <w:right w:w="80" w:type="dxa"/>
            </w:tcMar>
            <w:vAlign w:val="center"/>
          </w:tcPr>
          <w:p w14:paraId="5B07470C" w14:textId="77777777" w:rsidR="009A0641" w:rsidRPr="00A612A6" w:rsidRDefault="00000000">
            <w:pPr>
              <w:rPr>
                <w:lang w:val="en-US"/>
              </w:rPr>
            </w:pPr>
            <w:r>
              <w:rPr>
                <w:rFonts w:ascii="Calibri" w:eastAsia="Calibri" w:hAnsi="Calibri" w:cs="Calibri"/>
                <w:color w:val="0070C0"/>
                <w:sz w:val="18"/>
                <w:szCs w:val="18"/>
                <w:lang w:val="en-US"/>
              </w:rPr>
              <w:t xml:space="preserve">Extensive; also covers model complexity relative to 47 </w:t>
            </w:r>
            <w:r>
              <w:rPr>
                <w:rFonts w:ascii="Calibri" w:eastAsia="Calibri" w:hAnsi="Calibri" w:cs="Calibri"/>
                <w:color w:val="0070C0"/>
                <w:sz w:val="18"/>
                <w:szCs w:val="18"/>
                <w:lang w:val="en-US"/>
              </w:rPr>
              <w:lastRenderedPageBreak/>
              <w:t>patients and 18 events, the exploratory and potentially optimistic nature of the estimates, linear predictor coding and dichotomous-outcome power (Reviewer 3), and the selection effect of excluding patients without ypN, the imbalance in clinical N stage, and treatment heterogeneity (Reviewer 2, Comments 3–4; Round 2, Comments 3–5).</w:t>
            </w:r>
          </w:p>
        </w:tc>
      </w:tr>
      <w:tr w:rsidR="009A0641" w:rsidRPr="00A612A6" w14:paraId="16730D6B" w14:textId="77777777">
        <w:tc>
          <w:tcPr>
            <w:tcW w:w="700" w:type="dxa"/>
            <w:tcMar>
              <w:top w:w="60" w:type="dxa"/>
              <w:left w:w="80" w:type="dxa"/>
              <w:bottom w:w="60" w:type="dxa"/>
              <w:right w:w="80" w:type="dxa"/>
            </w:tcMar>
            <w:vAlign w:val="center"/>
          </w:tcPr>
          <w:p w14:paraId="712BD528" w14:textId="77777777" w:rsidR="009A0641" w:rsidRDefault="00000000">
            <w:r>
              <w:rPr>
                <w:rFonts w:ascii="Calibri" w:eastAsia="Calibri" w:hAnsi="Calibri" w:cs="Calibri"/>
                <w:b/>
                <w:bCs/>
                <w:color w:val="000000"/>
                <w:sz w:val="18"/>
                <w:szCs w:val="18"/>
              </w:rPr>
              <w:lastRenderedPageBreak/>
              <w:t>27a</w:t>
            </w:r>
          </w:p>
        </w:tc>
        <w:tc>
          <w:tcPr>
            <w:tcW w:w="3600" w:type="dxa"/>
            <w:tcMar>
              <w:top w:w="60" w:type="dxa"/>
              <w:left w:w="80" w:type="dxa"/>
              <w:bottom w:w="60" w:type="dxa"/>
              <w:right w:w="80" w:type="dxa"/>
            </w:tcMar>
            <w:vAlign w:val="center"/>
          </w:tcPr>
          <w:p w14:paraId="399D55FE" w14:textId="77777777" w:rsidR="009A0641" w:rsidRPr="00A612A6" w:rsidRDefault="00000000">
            <w:pPr>
              <w:rPr>
                <w:lang w:val="en-US"/>
              </w:rPr>
            </w:pPr>
            <w:r w:rsidRPr="00A612A6">
              <w:rPr>
                <w:rFonts w:ascii="Calibri" w:eastAsia="Calibri" w:hAnsi="Calibri" w:cs="Calibri"/>
                <w:color w:val="000000"/>
                <w:sz w:val="18"/>
                <w:szCs w:val="18"/>
                <w:lang w:val="en-US"/>
              </w:rPr>
              <w:t>Handling poor-quality or unavailable input data at implementation.</w:t>
            </w:r>
          </w:p>
        </w:tc>
        <w:tc>
          <w:tcPr>
            <w:tcW w:w="1000" w:type="dxa"/>
            <w:tcMar>
              <w:top w:w="60" w:type="dxa"/>
              <w:left w:w="80" w:type="dxa"/>
              <w:bottom w:w="60" w:type="dxa"/>
              <w:right w:w="80" w:type="dxa"/>
            </w:tcMar>
            <w:vAlign w:val="center"/>
          </w:tcPr>
          <w:p w14:paraId="63F8D1DB" w14:textId="1EA6A8FE" w:rsidR="009A0641" w:rsidRDefault="00405C2F">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5B979D91" w14:textId="251BA4BF" w:rsidR="009A0641" w:rsidRPr="00405C2F" w:rsidRDefault="00405C2F">
            <w:pPr>
              <w:rPr>
                <w:lang w:val="en-US"/>
              </w:rPr>
            </w:pPr>
            <w:r>
              <w:rPr>
                <w:lang w:val="en-US"/>
              </w:rPr>
              <w:t>Limitations</w:t>
            </w:r>
          </w:p>
        </w:tc>
        <w:tc>
          <w:tcPr>
            <w:tcW w:w="2540" w:type="dxa"/>
            <w:tcMar>
              <w:top w:w="60" w:type="dxa"/>
              <w:left w:w="80" w:type="dxa"/>
              <w:bottom w:w="60" w:type="dxa"/>
              <w:right w:w="80" w:type="dxa"/>
            </w:tcMar>
            <w:vAlign w:val="center"/>
          </w:tcPr>
          <w:p w14:paraId="6284A9CD" w14:textId="001D7D3D" w:rsidR="009A0641" w:rsidRPr="00A612A6" w:rsidRDefault="00405C2F">
            <w:pPr>
              <w:rPr>
                <w:lang w:val="en-US"/>
              </w:rPr>
            </w:pPr>
            <w:r w:rsidRPr="00405C2F">
              <w:rPr>
                <w:rFonts w:ascii="Calibri" w:eastAsia="Calibri" w:hAnsi="Calibri" w:cs="Calibri"/>
                <w:color w:val="000000"/>
                <w:sz w:val="18"/>
                <w:szCs w:val="18"/>
              </w:rPr>
              <w:t>The manuscript states that predictions should not be generated when required inputs are unavailable or unreliable and that standardized acquisition and missing-data procedures must be established during prospective validation before implementation.</w:t>
            </w:r>
          </w:p>
        </w:tc>
      </w:tr>
      <w:tr w:rsidR="009A0641" w14:paraId="45C0E676" w14:textId="77777777">
        <w:tc>
          <w:tcPr>
            <w:tcW w:w="700" w:type="dxa"/>
            <w:tcMar>
              <w:top w:w="60" w:type="dxa"/>
              <w:left w:w="80" w:type="dxa"/>
              <w:bottom w:w="60" w:type="dxa"/>
              <w:right w:w="80" w:type="dxa"/>
            </w:tcMar>
            <w:vAlign w:val="center"/>
          </w:tcPr>
          <w:p w14:paraId="56D68395" w14:textId="77777777" w:rsidR="009A0641" w:rsidRDefault="00000000">
            <w:r>
              <w:rPr>
                <w:rFonts w:ascii="Calibri" w:eastAsia="Calibri" w:hAnsi="Calibri" w:cs="Calibri"/>
                <w:b/>
                <w:bCs/>
                <w:color w:val="000000"/>
                <w:sz w:val="18"/>
                <w:szCs w:val="18"/>
              </w:rPr>
              <w:t>27b</w:t>
            </w:r>
          </w:p>
        </w:tc>
        <w:tc>
          <w:tcPr>
            <w:tcW w:w="3600" w:type="dxa"/>
            <w:tcMar>
              <w:top w:w="60" w:type="dxa"/>
              <w:left w:w="80" w:type="dxa"/>
              <w:bottom w:w="60" w:type="dxa"/>
              <w:right w:w="80" w:type="dxa"/>
            </w:tcMar>
            <w:vAlign w:val="center"/>
          </w:tcPr>
          <w:p w14:paraId="7E82D06E" w14:textId="77777777" w:rsidR="009A0641" w:rsidRPr="00A612A6" w:rsidRDefault="00000000">
            <w:pPr>
              <w:rPr>
                <w:lang w:val="en-US"/>
              </w:rPr>
            </w:pPr>
            <w:r w:rsidRPr="00A612A6">
              <w:rPr>
                <w:rFonts w:ascii="Calibri" w:eastAsia="Calibri" w:hAnsi="Calibri" w:cs="Calibri"/>
                <w:color w:val="000000"/>
                <w:sz w:val="18"/>
                <w:szCs w:val="18"/>
                <w:lang w:val="en-US"/>
              </w:rPr>
              <w:t>User interaction/expertise required to use the model.</w:t>
            </w:r>
          </w:p>
        </w:tc>
        <w:tc>
          <w:tcPr>
            <w:tcW w:w="1000" w:type="dxa"/>
            <w:tcMar>
              <w:top w:w="60" w:type="dxa"/>
              <w:left w:w="80" w:type="dxa"/>
              <w:bottom w:w="60" w:type="dxa"/>
              <w:right w:w="80" w:type="dxa"/>
            </w:tcMar>
            <w:vAlign w:val="center"/>
          </w:tcPr>
          <w:p w14:paraId="7B82FBFA" w14:textId="77777777" w:rsidR="009A0641" w:rsidRDefault="00000000">
            <w:r>
              <w:rPr>
                <w:rFonts w:ascii="Calibri" w:eastAsia="Calibri" w:hAnsi="Calibri" w:cs="Calibri"/>
                <w:b/>
                <w:bCs/>
                <w:color w:val="C00000"/>
                <w:sz w:val="18"/>
                <w:szCs w:val="18"/>
              </w:rPr>
              <w:t>Not reported</w:t>
            </w:r>
          </w:p>
        </w:tc>
        <w:tc>
          <w:tcPr>
            <w:tcW w:w="2600" w:type="dxa"/>
            <w:tcMar>
              <w:top w:w="60" w:type="dxa"/>
              <w:left w:w="80" w:type="dxa"/>
              <w:bottom w:w="60" w:type="dxa"/>
              <w:right w:w="80" w:type="dxa"/>
            </w:tcMar>
            <w:vAlign w:val="center"/>
          </w:tcPr>
          <w:p w14:paraId="6B0994F0" w14:textId="77777777" w:rsidR="009A0641" w:rsidRDefault="00000000">
            <w:r>
              <w:rPr>
                <w:rFonts w:ascii="Calibri" w:eastAsia="Calibri" w:hAnsi="Calibri" w:cs="Calibri"/>
                <w:color w:val="000000"/>
                <w:sz w:val="18"/>
                <w:szCs w:val="18"/>
              </w:rPr>
              <w:t>—</w:t>
            </w:r>
          </w:p>
        </w:tc>
        <w:tc>
          <w:tcPr>
            <w:tcW w:w="2540" w:type="dxa"/>
            <w:tcMar>
              <w:top w:w="60" w:type="dxa"/>
              <w:left w:w="80" w:type="dxa"/>
              <w:bottom w:w="60" w:type="dxa"/>
              <w:right w:w="80" w:type="dxa"/>
            </w:tcMar>
            <w:vAlign w:val="center"/>
          </w:tcPr>
          <w:p w14:paraId="69A3A369" w14:textId="77777777" w:rsidR="009A0641" w:rsidRDefault="00000000">
            <w:r>
              <w:rPr>
                <w:rFonts w:ascii="Calibri" w:eastAsia="Calibri" w:hAnsi="Calibri" w:cs="Calibri"/>
                <w:color w:val="000000"/>
                <w:sz w:val="18"/>
                <w:szCs w:val="18"/>
              </w:rPr>
              <w:t>Not addressed.</w:t>
            </w:r>
          </w:p>
        </w:tc>
      </w:tr>
      <w:tr w:rsidR="009A0641" w:rsidRPr="00A612A6" w14:paraId="68B1E13D" w14:textId="77777777">
        <w:tc>
          <w:tcPr>
            <w:tcW w:w="700" w:type="dxa"/>
            <w:tcMar>
              <w:top w:w="60" w:type="dxa"/>
              <w:left w:w="80" w:type="dxa"/>
              <w:bottom w:w="60" w:type="dxa"/>
              <w:right w:w="80" w:type="dxa"/>
            </w:tcMar>
            <w:vAlign w:val="center"/>
          </w:tcPr>
          <w:p w14:paraId="14560540" w14:textId="77777777" w:rsidR="009A0641" w:rsidRDefault="00000000">
            <w:r>
              <w:rPr>
                <w:rFonts w:ascii="Calibri" w:eastAsia="Calibri" w:hAnsi="Calibri" w:cs="Calibri"/>
                <w:b/>
                <w:bCs/>
                <w:color w:val="000000"/>
                <w:sz w:val="18"/>
                <w:szCs w:val="18"/>
              </w:rPr>
              <w:t>27c</w:t>
            </w:r>
          </w:p>
        </w:tc>
        <w:tc>
          <w:tcPr>
            <w:tcW w:w="3600" w:type="dxa"/>
            <w:tcMar>
              <w:top w:w="60" w:type="dxa"/>
              <w:left w:w="80" w:type="dxa"/>
              <w:bottom w:w="60" w:type="dxa"/>
              <w:right w:w="80" w:type="dxa"/>
            </w:tcMar>
            <w:vAlign w:val="center"/>
          </w:tcPr>
          <w:p w14:paraId="43142D8F" w14:textId="77777777" w:rsidR="009A0641" w:rsidRPr="00A612A6" w:rsidRDefault="00000000">
            <w:pPr>
              <w:rPr>
                <w:lang w:val="en-US"/>
              </w:rPr>
            </w:pPr>
            <w:r w:rsidRPr="00A612A6">
              <w:rPr>
                <w:rFonts w:ascii="Calibri" w:eastAsia="Calibri" w:hAnsi="Calibri" w:cs="Calibri"/>
                <w:color w:val="000000"/>
                <w:sz w:val="18"/>
                <w:szCs w:val="18"/>
                <w:lang w:val="en-US"/>
              </w:rPr>
              <w:t>Next steps for future research (applicability/generalisability).</w:t>
            </w:r>
          </w:p>
        </w:tc>
        <w:tc>
          <w:tcPr>
            <w:tcW w:w="1000" w:type="dxa"/>
            <w:tcMar>
              <w:top w:w="60" w:type="dxa"/>
              <w:left w:w="80" w:type="dxa"/>
              <w:bottom w:w="60" w:type="dxa"/>
              <w:right w:w="80" w:type="dxa"/>
            </w:tcMar>
            <w:vAlign w:val="center"/>
          </w:tcPr>
          <w:p w14:paraId="7824A176" w14:textId="77777777" w:rsidR="009A0641" w:rsidRDefault="00000000">
            <w:r>
              <w:rPr>
                <w:rFonts w:ascii="Calibri" w:eastAsia="Calibri" w:hAnsi="Calibri" w:cs="Calibri"/>
                <w:b/>
                <w:bCs/>
                <w:color w:val="1E7B34"/>
                <w:sz w:val="18"/>
                <w:szCs w:val="18"/>
              </w:rPr>
              <w:t>Reported</w:t>
            </w:r>
          </w:p>
        </w:tc>
        <w:tc>
          <w:tcPr>
            <w:tcW w:w="2600" w:type="dxa"/>
            <w:tcMar>
              <w:top w:w="60" w:type="dxa"/>
              <w:left w:w="80" w:type="dxa"/>
              <w:bottom w:w="60" w:type="dxa"/>
              <w:right w:w="80" w:type="dxa"/>
            </w:tcMar>
            <w:vAlign w:val="center"/>
          </w:tcPr>
          <w:p w14:paraId="305315E4" w14:textId="77777777" w:rsidR="009A0641" w:rsidRDefault="00000000">
            <w:r>
              <w:rPr>
                <w:rFonts w:ascii="Calibri" w:eastAsia="Calibri" w:hAnsi="Calibri" w:cs="Calibri"/>
                <w:color w:val="000000"/>
                <w:sz w:val="18"/>
                <w:szCs w:val="18"/>
              </w:rPr>
              <w:t>Discussion; Limitations; Conclusions</w:t>
            </w:r>
          </w:p>
        </w:tc>
        <w:tc>
          <w:tcPr>
            <w:tcW w:w="2540" w:type="dxa"/>
            <w:tcMar>
              <w:top w:w="60" w:type="dxa"/>
              <w:left w:w="80" w:type="dxa"/>
              <w:bottom w:w="60" w:type="dxa"/>
              <w:right w:w="80" w:type="dxa"/>
            </w:tcMar>
            <w:vAlign w:val="center"/>
          </w:tcPr>
          <w:p w14:paraId="7E7BA690" w14:textId="77777777" w:rsidR="009A0641" w:rsidRPr="00A612A6" w:rsidRDefault="00000000">
            <w:pPr>
              <w:rPr>
                <w:lang w:val="en-US"/>
              </w:rPr>
            </w:pPr>
            <w:r w:rsidRPr="00A612A6">
              <w:rPr>
                <w:rFonts w:ascii="Calibri" w:eastAsia="Calibri" w:hAnsi="Calibri" w:cs="Calibri"/>
                <w:color w:val="000000"/>
                <w:sz w:val="18"/>
                <w:szCs w:val="18"/>
                <w:lang w:val="en-US"/>
              </w:rPr>
              <w:t>Prospective multicenter validation explicitly recommended.</w:t>
            </w:r>
          </w:p>
        </w:tc>
      </w:tr>
    </w:tbl>
    <w:p w14:paraId="0B1AD5FA" w14:textId="77777777" w:rsidR="009A0641" w:rsidRPr="00A612A6" w:rsidRDefault="00000000">
      <w:pPr>
        <w:pStyle w:val="Balk2"/>
        <w:spacing w:before="220" w:after="80"/>
        <w:rPr>
          <w:lang w:val="en-US"/>
        </w:rPr>
      </w:pPr>
      <w:r w:rsidRPr="00A612A6">
        <w:rPr>
          <w:rFonts w:ascii="Calibri" w:eastAsia="Calibri" w:hAnsi="Calibri" w:cs="Calibri"/>
          <w:b/>
          <w:bCs/>
          <w:color w:val="1F4E79"/>
          <w:sz w:val="23"/>
          <w:szCs w:val="23"/>
          <w:lang w:val="en-US"/>
        </w:rPr>
        <w:t>TRIPOD+AI for Abstracts checklist</w:t>
      </w:r>
    </w:p>
    <w:p w14:paraId="1F8F921E" w14:textId="77777777" w:rsidR="009A0641" w:rsidRPr="00A612A6" w:rsidRDefault="00000000">
      <w:pPr>
        <w:spacing w:after="160" w:line="270" w:lineRule="auto"/>
        <w:rPr>
          <w:lang w:val="en-US"/>
        </w:rPr>
      </w:pPr>
      <w:r w:rsidRPr="00A612A6">
        <w:rPr>
          <w:rFonts w:ascii="Calibri" w:eastAsia="Calibri" w:hAnsi="Calibri" w:cs="Calibri"/>
          <w:sz w:val="21"/>
          <w:szCs w:val="21"/>
          <w:lang w:val="en-US"/>
        </w:rPr>
        <w:t>The manuscript Abstract addresses all applicable items: (1) identifies the study as model development, target population, and outcome; (2) explains healthcare context/rationale (briefly, expanded in Introduction); (3) specifies objectives (development only); (4) describes data source; (5) eligibility/setting; (6) outcome and time horizon; (7) model type, building steps, internal validation method; (8) performance measures used; (9) participants/events; (10) summary of final predictors; (11) performance estimates with CIs; (12) overall interpretation. Item 13 (registration number/registry) is not currently addressed and depends on the Registration item (18d) above.</w:t>
      </w:r>
    </w:p>
    <w:sectPr w:rsidR="009A0641" w:rsidRPr="00A612A6">
      <w:pgSz w:w="15840" w:h="12240"/>
      <w:pgMar w:top="900" w:right="900" w:bottom="9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33512"/>
    <w:multiLevelType w:val="hybridMultilevel"/>
    <w:tmpl w:val="67D4A06A"/>
    <w:lvl w:ilvl="0" w:tplc="9212208A">
      <w:start w:val="1"/>
      <w:numFmt w:val="bullet"/>
      <w:lvlText w:val="●"/>
      <w:lvlJc w:val="left"/>
      <w:pPr>
        <w:ind w:left="720" w:hanging="360"/>
      </w:pPr>
    </w:lvl>
    <w:lvl w:ilvl="1" w:tplc="BA8AD97A">
      <w:start w:val="1"/>
      <w:numFmt w:val="bullet"/>
      <w:lvlText w:val="○"/>
      <w:lvlJc w:val="left"/>
      <w:pPr>
        <w:ind w:left="1440" w:hanging="360"/>
      </w:pPr>
    </w:lvl>
    <w:lvl w:ilvl="2" w:tplc="B24EDFD2">
      <w:start w:val="1"/>
      <w:numFmt w:val="bullet"/>
      <w:lvlText w:val="■"/>
      <w:lvlJc w:val="left"/>
      <w:pPr>
        <w:ind w:left="2160" w:hanging="360"/>
      </w:pPr>
    </w:lvl>
    <w:lvl w:ilvl="3" w:tplc="2D3A65A8">
      <w:start w:val="1"/>
      <w:numFmt w:val="bullet"/>
      <w:lvlText w:val="●"/>
      <w:lvlJc w:val="left"/>
      <w:pPr>
        <w:ind w:left="2880" w:hanging="360"/>
      </w:pPr>
    </w:lvl>
    <w:lvl w:ilvl="4" w:tplc="6BD8D862">
      <w:start w:val="1"/>
      <w:numFmt w:val="bullet"/>
      <w:lvlText w:val="○"/>
      <w:lvlJc w:val="left"/>
      <w:pPr>
        <w:ind w:left="3600" w:hanging="360"/>
      </w:pPr>
    </w:lvl>
    <w:lvl w:ilvl="5" w:tplc="BB56560C">
      <w:start w:val="1"/>
      <w:numFmt w:val="bullet"/>
      <w:lvlText w:val="■"/>
      <w:lvlJc w:val="left"/>
      <w:pPr>
        <w:ind w:left="4320" w:hanging="360"/>
      </w:pPr>
    </w:lvl>
    <w:lvl w:ilvl="6" w:tplc="9B70B2CE">
      <w:start w:val="1"/>
      <w:numFmt w:val="bullet"/>
      <w:lvlText w:val="●"/>
      <w:lvlJc w:val="left"/>
      <w:pPr>
        <w:ind w:left="5040" w:hanging="360"/>
      </w:pPr>
    </w:lvl>
    <w:lvl w:ilvl="7" w:tplc="1ED40E18">
      <w:start w:val="1"/>
      <w:numFmt w:val="bullet"/>
      <w:lvlText w:val="●"/>
      <w:lvlJc w:val="left"/>
      <w:pPr>
        <w:ind w:left="5760" w:hanging="360"/>
      </w:pPr>
    </w:lvl>
    <w:lvl w:ilvl="8" w:tplc="13949808">
      <w:start w:val="1"/>
      <w:numFmt w:val="bullet"/>
      <w:lvlText w:val="●"/>
      <w:lvlJc w:val="left"/>
      <w:pPr>
        <w:ind w:left="6480" w:hanging="360"/>
      </w:pPr>
    </w:lvl>
  </w:abstractNum>
  <w:num w:numId="1" w16cid:durableId="8489846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641"/>
    <w:rsid w:val="003737D0"/>
    <w:rsid w:val="00405C2F"/>
    <w:rsid w:val="004738C8"/>
    <w:rsid w:val="00705596"/>
    <w:rsid w:val="00752BC9"/>
    <w:rsid w:val="008E3EF8"/>
    <w:rsid w:val="009A0641"/>
    <w:rsid w:val="009F382C"/>
    <w:rsid w:val="00A612A6"/>
    <w:rsid w:val="00BE00FA"/>
    <w:rsid w:val="00D41299"/>
    <w:rsid w:val="00F76FE3"/>
    <w:rsid w:val="00F91114"/>
  </w:rsids>
  <m:mathPr>
    <m:mathFont m:val="Cambria Math"/>
    <m:brkBin m:val="before"/>
    <m:brkBinSub m:val="--"/>
    <m:smallFrac m:val="0"/>
    <m:dispDef/>
    <m:lMargin m:val="0"/>
    <m:rMargin m:val="0"/>
    <m:defJc m:val="centerGroup"/>
    <m:wrapIndent m:val="1440"/>
    <m:intLim m:val="subSup"/>
    <m:naryLim m:val="undOvr"/>
  </m:mathPr>
  <w:themeFontLang w:val="tr-TR"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1B0BA"/>
  <w15:docId w15:val="{F009EC84-487A-4959-94FE-085A572A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2510</Words>
  <Characters>14489</Characters>
  <Application>Microsoft Office Word</Application>
  <DocSecurity>0</DocSecurity>
  <Lines>452</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Modestum Typesettings</cp:lastModifiedBy>
  <cp:revision>2</cp:revision>
  <dcterms:created xsi:type="dcterms:W3CDTF">2026-10-15T06:01:00Z</dcterms:created>
  <dcterms:modified xsi:type="dcterms:W3CDTF">2026-10-15T06:01:00Z</dcterms:modified>
</cp:coreProperties>
</file>